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9D3D" w14:textId="2C230A99" w:rsidR="00DD1E5E" w:rsidRPr="00DD1E5E" w:rsidRDefault="00DD1E5E" w:rsidP="00DD1E5E">
      <w:pPr>
        <w:spacing w:after="0" w:line="240" w:lineRule="auto"/>
        <w:contextualSpacing/>
        <w:jc w:val="right"/>
        <w:rPr>
          <w:rFonts w:eastAsiaTheme="minorEastAsia" w:cstheme="minorHAnsi"/>
          <w:bCs/>
          <w:color w:val="000000" w:themeColor="text1"/>
          <w:sz w:val="24"/>
          <w:szCs w:val="24"/>
          <w:u w:val="single"/>
          <w:lang w:val="lt-LT"/>
        </w:rPr>
      </w:pPr>
      <w:r w:rsidRPr="00DD1E5E">
        <w:rPr>
          <w:rFonts w:eastAsiaTheme="minorEastAsia" w:cstheme="minorHAnsi"/>
          <w:bCs/>
          <w:color w:val="000000" w:themeColor="text1"/>
          <w:sz w:val="24"/>
          <w:szCs w:val="24"/>
          <w:u w:val="single"/>
          <w:lang w:val="lt-LT"/>
        </w:rPr>
        <w:t>Priedas prie laiško: 7 psl.</w:t>
      </w:r>
    </w:p>
    <w:p w14:paraId="192120C8" w14:textId="44A597C8" w:rsidR="0087200B" w:rsidRPr="00DD1E5E" w:rsidRDefault="0087200B" w:rsidP="007D223F">
      <w:pPr>
        <w:spacing w:after="0" w:line="240" w:lineRule="auto"/>
        <w:contextualSpacing/>
        <w:jc w:val="center"/>
        <w:rPr>
          <w:rFonts w:ascii="Times New Roman" w:eastAsiaTheme="minorEastAsia" w:hAnsi="Times New Roman" w:cs="Times New Roman"/>
          <w:b/>
          <w:color w:val="000000" w:themeColor="text1"/>
          <w:sz w:val="28"/>
          <w:szCs w:val="28"/>
          <w:lang w:val="lt-LT"/>
        </w:rPr>
      </w:pPr>
      <w:r w:rsidRPr="00DD1E5E">
        <w:rPr>
          <w:rFonts w:ascii="Times New Roman" w:eastAsiaTheme="minorEastAsia" w:hAnsi="Times New Roman" w:cs="Times New Roman"/>
          <w:b/>
          <w:color w:val="000000" w:themeColor="text1"/>
          <w:sz w:val="28"/>
          <w:szCs w:val="28"/>
          <w:lang w:val="lt-LT"/>
        </w:rPr>
        <w:t>Socialinė</w:t>
      </w:r>
      <w:r w:rsidR="007D223F" w:rsidRPr="00DD1E5E">
        <w:rPr>
          <w:rFonts w:ascii="Times New Roman" w:eastAsiaTheme="minorEastAsia" w:hAnsi="Times New Roman" w:cs="Times New Roman"/>
          <w:b/>
          <w:color w:val="000000" w:themeColor="text1"/>
          <w:sz w:val="28"/>
          <w:szCs w:val="28"/>
          <w:lang w:val="lt-LT"/>
        </w:rPr>
        <w:t xml:space="preserve"> pašalpa ir šildymo bei vandens išlaidų kompensacijos</w:t>
      </w:r>
    </w:p>
    <w:p w14:paraId="12F602D7" w14:textId="208D27A5" w:rsidR="007D223F" w:rsidRPr="00DD1E5E" w:rsidRDefault="007D223F" w:rsidP="007D223F">
      <w:pPr>
        <w:spacing w:after="0" w:line="240" w:lineRule="auto"/>
        <w:contextualSpacing/>
        <w:jc w:val="center"/>
        <w:rPr>
          <w:rFonts w:ascii="Times New Roman" w:eastAsiaTheme="minorEastAsia" w:hAnsi="Times New Roman" w:cs="Times New Roman"/>
          <w:b/>
          <w:color w:val="000000" w:themeColor="text1"/>
          <w:sz w:val="24"/>
          <w:szCs w:val="24"/>
          <w:lang w:val="lt-LT"/>
        </w:rPr>
      </w:pPr>
    </w:p>
    <w:p w14:paraId="6236A8E6" w14:textId="6D6FCFF1" w:rsidR="00BF0821" w:rsidRPr="00DD1E5E" w:rsidRDefault="00BF0821" w:rsidP="007D223F">
      <w:pPr>
        <w:spacing w:after="0" w:line="240" w:lineRule="auto"/>
        <w:contextualSpacing/>
        <w:jc w:val="center"/>
        <w:rPr>
          <w:rFonts w:ascii="Times New Roman" w:eastAsiaTheme="minorEastAsia" w:hAnsi="Times New Roman" w:cs="Times New Roman"/>
          <w:b/>
          <w:color w:val="000000" w:themeColor="text1"/>
          <w:sz w:val="24"/>
          <w:szCs w:val="24"/>
          <w:lang w:val="lt-LT"/>
        </w:rPr>
      </w:pPr>
    </w:p>
    <w:p w14:paraId="75893B3F" w14:textId="7125A24F" w:rsidR="00BF0821" w:rsidRPr="00DD1E5E" w:rsidRDefault="00BF0821" w:rsidP="00417BC9">
      <w:pPr>
        <w:spacing w:after="0" w:line="276" w:lineRule="auto"/>
        <w:contextualSpacing/>
        <w:jc w:val="both"/>
        <w:rPr>
          <w:rFonts w:ascii="Times New Roman" w:eastAsiaTheme="minorEastAsia" w:hAnsi="Times New Roman" w:cs="Times New Roman"/>
          <w:color w:val="000000" w:themeColor="text1"/>
          <w:sz w:val="24"/>
          <w:szCs w:val="24"/>
          <w:lang w:val="lt-LT"/>
        </w:rPr>
      </w:pPr>
      <w:r w:rsidRPr="00DD1E5E">
        <w:rPr>
          <w:rFonts w:ascii="Times New Roman" w:eastAsiaTheme="minorEastAsia" w:hAnsi="Times New Roman" w:cs="Times New Roman"/>
          <w:color w:val="000000" w:themeColor="text1"/>
          <w:sz w:val="24"/>
          <w:szCs w:val="24"/>
          <w:lang w:val="lt-LT"/>
        </w:rPr>
        <w:t>Socialinė pašalpa yra paskutinė galimybė išgyventi iš valstybės teikiamos socialinės pagalbos, kai asmuo ar šeima pakankamai neužsidirba, teisės į kitas išmokas neturi arba ir pastarosios išmokos nepakankamos. Ji mokama kai visos kitos galimybės išnaudotos, todėl orientuota į pačius labiausiai nepasiturinčius asmenis</w:t>
      </w:r>
      <w:r w:rsidR="00B00BF7" w:rsidRPr="00DD1E5E">
        <w:rPr>
          <w:rFonts w:ascii="Times New Roman" w:eastAsiaTheme="minorEastAsia" w:hAnsi="Times New Roman" w:cs="Times New Roman"/>
          <w:color w:val="000000" w:themeColor="text1"/>
          <w:sz w:val="24"/>
          <w:szCs w:val="24"/>
          <w:lang w:val="lt-LT"/>
        </w:rPr>
        <w:t>. Ši parama reguliuojama specialiu įstatymu</w:t>
      </w:r>
      <w:r w:rsidRPr="00DD1E5E">
        <w:rPr>
          <w:rFonts w:ascii="Times New Roman" w:eastAsiaTheme="minorEastAsia" w:hAnsi="Times New Roman" w:cs="Times New Roman"/>
          <w:color w:val="000000" w:themeColor="text1"/>
          <w:sz w:val="24"/>
          <w:szCs w:val="24"/>
          <w:lang w:val="lt-LT"/>
        </w:rPr>
        <w:t>.</w:t>
      </w:r>
      <w:r w:rsidR="00B00BF7" w:rsidRPr="00DD1E5E">
        <w:rPr>
          <w:rStyle w:val="Puslapioinaosnuoroda"/>
          <w:rFonts w:ascii="Times New Roman" w:eastAsiaTheme="minorEastAsia" w:hAnsi="Times New Roman" w:cs="Times New Roman"/>
          <w:color w:val="000000" w:themeColor="text1"/>
          <w:sz w:val="24"/>
          <w:szCs w:val="24"/>
          <w:lang w:val="lt-LT"/>
        </w:rPr>
        <w:footnoteReference w:id="1"/>
      </w:r>
      <w:r w:rsidRPr="00DD1E5E">
        <w:rPr>
          <w:rFonts w:ascii="Times New Roman" w:eastAsiaTheme="minorEastAsia" w:hAnsi="Times New Roman" w:cs="Times New Roman"/>
          <w:color w:val="000000" w:themeColor="text1"/>
          <w:sz w:val="24"/>
          <w:szCs w:val="24"/>
          <w:lang w:val="lt-LT"/>
        </w:rPr>
        <w:t xml:space="preserve"> </w:t>
      </w:r>
    </w:p>
    <w:p w14:paraId="12C330B8" w14:textId="77777777" w:rsidR="00BF0821" w:rsidRPr="00DD1E5E" w:rsidRDefault="00BF0821" w:rsidP="00417BC9">
      <w:pPr>
        <w:spacing w:after="0" w:line="276" w:lineRule="auto"/>
        <w:contextualSpacing/>
        <w:jc w:val="both"/>
        <w:rPr>
          <w:rFonts w:ascii="Times New Roman" w:eastAsiaTheme="minorEastAsia" w:hAnsi="Times New Roman" w:cs="Times New Roman"/>
          <w:color w:val="000000" w:themeColor="text1"/>
          <w:sz w:val="24"/>
          <w:szCs w:val="24"/>
          <w:lang w:val="lt-LT"/>
        </w:rPr>
      </w:pPr>
    </w:p>
    <w:p w14:paraId="61BF452A" w14:textId="77777777" w:rsidR="009A0D4D" w:rsidRPr="00DD1E5E" w:rsidRDefault="009A0D4D" w:rsidP="00417BC9">
      <w:pPr>
        <w:shd w:val="clear" w:color="auto" w:fill="FFFFFF"/>
        <w:spacing w:after="0" w:line="276" w:lineRule="auto"/>
        <w:rPr>
          <w:rFonts w:ascii="Times New Roman" w:eastAsia="Times New Roman" w:hAnsi="Times New Roman" w:cs="Times New Roman"/>
          <w:color w:val="000000"/>
          <w:spacing w:val="2"/>
          <w:sz w:val="24"/>
          <w:szCs w:val="24"/>
          <w:lang w:val="lt-LT" w:eastAsia="lt-LT"/>
        </w:rPr>
      </w:pPr>
      <w:r w:rsidRPr="00DD1E5E">
        <w:rPr>
          <w:rFonts w:ascii="Times New Roman" w:eastAsia="Times New Roman" w:hAnsi="Times New Roman" w:cs="Times New Roman"/>
          <w:b/>
          <w:color w:val="000000"/>
          <w:spacing w:val="2"/>
          <w:sz w:val="24"/>
          <w:szCs w:val="24"/>
          <w:lang w:val="lt-LT" w:eastAsia="lt-LT"/>
        </w:rPr>
        <w:t>Teisę į socialinę pašalpą turi kai:</w:t>
      </w:r>
      <w:r w:rsidRPr="00DD1E5E">
        <w:rPr>
          <w:rFonts w:ascii="Times New Roman" w:eastAsia="Times New Roman" w:hAnsi="Times New Roman" w:cs="Times New Roman"/>
          <w:color w:val="000000"/>
          <w:spacing w:val="2"/>
          <w:sz w:val="24"/>
          <w:szCs w:val="24"/>
          <w:lang w:val="lt-LT" w:eastAsia="lt-LT"/>
        </w:rPr>
        <w:t xml:space="preserve"> </w:t>
      </w:r>
      <w:r w:rsidRPr="00DD1E5E">
        <w:rPr>
          <w:rFonts w:ascii="Times New Roman" w:eastAsia="Times New Roman" w:hAnsi="Times New Roman" w:cs="Times New Roman"/>
          <w:color w:val="444444"/>
          <w:spacing w:val="2"/>
          <w:sz w:val="24"/>
          <w:szCs w:val="24"/>
          <w:lang w:val="lt-LT" w:eastAsia="lt-LT"/>
        </w:rPr>
        <w:br/>
      </w:r>
      <w:r w:rsidRPr="00DD1E5E">
        <w:rPr>
          <w:rFonts w:ascii="Times New Roman" w:eastAsia="Times New Roman" w:hAnsi="Times New Roman" w:cs="Times New Roman"/>
          <w:color w:val="000000"/>
          <w:spacing w:val="2"/>
          <w:sz w:val="24"/>
          <w:szCs w:val="24"/>
          <w:lang w:val="lt-LT" w:eastAsia="lt-LT"/>
        </w:rPr>
        <w:t>a) </w:t>
      </w:r>
      <w:r w:rsidRPr="00DD1E5E">
        <w:rPr>
          <w:rFonts w:ascii="Times New Roman" w:eastAsia="Times New Roman" w:hAnsi="Times New Roman" w:cs="Times New Roman"/>
          <w:i/>
          <w:iCs/>
          <w:color w:val="000000"/>
          <w:spacing w:val="2"/>
          <w:sz w:val="24"/>
          <w:szCs w:val="24"/>
          <w:lang w:val="lt-LT" w:eastAsia="lt-LT"/>
        </w:rPr>
        <w:t>pajamos vienam asmeniui yra mažesnės už 1,1 valstybės remiamų pajamų (VRP) dydį (140,8 Eur) (toliau – VRP);</w:t>
      </w:r>
    </w:p>
    <w:p w14:paraId="01CD4D1B" w14:textId="29E93E1D" w:rsidR="009A0D4D" w:rsidRPr="00DD1E5E" w:rsidRDefault="009A0D4D" w:rsidP="00417BC9">
      <w:pPr>
        <w:shd w:val="clear" w:color="auto" w:fill="FFFFFF"/>
        <w:spacing w:after="0" w:line="276" w:lineRule="auto"/>
        <w:rPr>
          <w:rFonts w:ascii="Times New Roman" w:eastAsia="Times New Roman" w:hAnsi="Times New Roman" w:cs="Times New Roman"/>
          <w:color w:val="444444"/>
          <w:spacing w:val="2"/>
          <w:sz w:val="24"/>
          <w:szCs w:val="24"/>
          <w:lang w:val="lt-LT" w:eastAsia="lt-LT"/>
        </w:rPr>
      </w:pPr>
      <w:r w:rsidRPr="00DD1E5E">
        <w:rPr>
          <w:rFonts w:ascii="Times New Roman" w:eastAsia="Times New Roman" w:hAnsi="Times New Roman" w:cs="Times New Roman"/>
          <w:color w:val="000000"/>
          <w:spacing w:val="2"/>
          <w:sz w:val="24"/>
          <w:szCs w:val="24"/>
          <w:lang w:val="lt-LT" w:eastAsia="lt-LT"/>
        </w:rPr>
        <w:t xml:space="preserve">b) vyresnis kaip 18 metų  asmuo dirba ne mažiau kaip </w:t>
      </w:r>
      <w:r w:rsidR="00B00BF7" w:rsidRPr="00DD1E5E">
        <w:rPr>
          <w:rFonts w:ascii="Times New Roman" w:eastAsia="Times New Roman" w:hAnsi="Times New Roman" w:cs="Times New Roman"/>
          <w:color w:val="000000"/>
          <w:spacing w:val="2"/>
          <w:sz w:val="24"/>
          <w:szCs w:val="24"/>
          <w:lang w:val="lt-LT" w:eastAsia="lt-LT"/>
        </w:rPr>
        <w:t>2/3</w:t>
      </w:r>
      <w:r w:rsidRPr="00DD1E5E">
        <w:rPr>
          <w:rFonts w:ascii="Times New Roman" w:eastAsia="Times New Roman" w:hAnsi="Times New Roman" w:cs="Times New Roman"/>
          <w:color w:val="000000"/>
          <w:spacing w:val="2"/>
          <w:sz w:val="24"/>
          <w:szCs w:val="24"/>
          <w:lang w:val="lt-LT" w:eastAsia="lt-LT"/>
        </w:rPr>
        <w:t xml:space="preserve"> etato arba registruotas bedarbis ir vykdo Užimtumo tarnybos nurodymus. </w:t>
      </w:r>
    </w:p>
    <w:p w14:paraId="3C13A70D" w14:textId="7A1DAE7E"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Apskaičiuojant asmens pajamas</w:t>
      </w:r>
      <w:r w:rsidRPr="00DD1E5E">
        <w:rPr>
          <w:rFonts w:ascii="Times New Roman" w:hAnsi="Times New Roman" w:cs="Times New Roman"/>
          <w:b/>
          <w:sz w:val="24"/>
          <w:szCs w:val="24"/>
          <w:lang w:val="lt-LT"/>
        </w:rPr>
        <w:t xml:space="preserve"> </w:t>
      </w:r>
      <w:r w:rsidRPr="00DD1E5E">
        <w:rPr>
          <w:rFonts w:ascii="Times New Roman" w:hAnsi="Times New Roman" w:cs="Times New Roman"/>
          <w:sz w:val="24"/>
          <w:szCs w:val="24"/>
          <w:lang w:val="lt-LT"/>
        </w:rPr>
        <w:t xml:space="preserve">neįskaitoma dalis algos ir </w:t>
      </w:r>
      <w:r w:rsidR="002B1F05" w:rsidRPr="00DD1E5E">
        <w:rPr>
          <w:rFonts w:ascii="Times New Roman" w:hAnsi="Times New Roman" w:cs="Times New Roman"/>
          <w:sz w:val="24"/>
          <w:szCs w:val="24"/>
          <w:lang w:val="lt-LT"/>
        </w:rPr>
        <w:t>individualios</w:t>
      </w:r>
      <w:r w:rsidRPr="00DD1E5E">
        <w:rPr>
          <w:rFonts w:ascii="Times New Roman" w:hAnsi="Times New Roman" w:cs="Times New Roman"/>
          <w:sz w:val="24"/>
          <w:szCs w:val="24"/>
          <w:lang w:val="lt-LT"/>
        </w:rPr>
        <w:t xml:space="preserve"> veiklos pajamų bei dalis nedarbo socialinio draudimo ir darbo paieškos išmokų:</w:t>
      </w:r>
    </w:p>
    <w:p w14:paraId="58FC77F0" w14:textId="77777777"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20 procentų – asmenims, neauginantiems vaikų;</w:t>
      </w:r>
    </w:p>
    <w:p w14:paraId="68921757" w14:textId="77777777"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25 procentai – bendrai gyvenantiems asmenims, auginantiems vieną ar du vaikus;</w:t>
      </w:r>
    </w:p>
    <w:p w14:paraId="479646B0" w14:textId="77777777"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30 procentų – bendrai gyvenantiems asmenims, auginantiems tris ar daugiau vaikų;</w:t>
      </w:r>
    </w:p>
    <w:p w14:paraId="6B229EDC" w14:textId="77777777"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35 procentai – asmenims, vieniems auginantiems vieną ar du vaikus;</w:t>
      </w:r>
    </w:p>
    <w:p w14:paraId="2A353E5B" w14:textId="26BCBAF8" w:rsidR="009A0D4D" w:rsidRPr="00DD1E5E" w:rsidRDefault="009A0D4D" w:rsidP="00417BC9">
      <w:pPr>
        <w:spacing w:after="0" w:line="276"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40 procentų – asmenims, vieniems auginantiems tris ar daugiau vaikų.</w:t>
      </w:r>
    </w:p>
    <w:p w14:paraId="315D8E97" w14:textId="77777777" w:rsidR="002B1F05" w:rsidRPr="00DD1E5E" w:rsidRDefault="002B1F05" w:rsidP="00417BC9">
      <w:pPr>
        <w:spacing w:after="0" w:line="276" w:lineRule="auto"/>
        <w:rPr>
          <w:rFonts w:ascii="Times New Roman" w:hAnsi="Times New Roman" w:cs="Times New Roman"/>
          <w:sz w:val="24"/>
          <w:szCs w:val="24"/>
          <w:lang w:val="lt-LT"/>
        </w:rPr>
      </w:pPr>
    </w:p>
    <w:p w14:paraId="20708090" w14:textId="1D92BB79" w:rsidR="002B1F05" w:rsidRPr="00DD1E5E" w:rsidRDefault="002B1F05" w:rsidP="00417BC9">
      <w:pPr>
        <w:spacing w:after="0" w:line="276" w:lineRule="auto"/>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 xml:space="preserve">Dalies uždirbtų pajamų bei nedarbo išmokos neįskaitymas, reiškia, kad palengvinamos sąlygos gauti socialinę pašalpą. Tačiau padėtis lieka sunki, kai asmuo bedarbis, o nedarbo išmokos mokėjimo laikotarpis jau pasibaigęs. </w:t>
      </w:r>
    </w:p>
    <w:p w14:paraId="57A5FA34" w14:textId="77777777" w:rsidR="009A0D4D" w:rsidRPr="00DD1E5E" w:rsidRDefault="009A0D4D" w:rsidP="00417BC9">
      <w:pPr>
        <w:spacing w:after="0" w:line="276" w:lineRule="auto"/>
        <w:rPr>
          <w:rFonts w:ascii="Times New Roman" w:hAnsi="Times New Roman" w:cs="Times New Roman"/>
          <w:sz w:val="24"/>
          <w:szCs w:val="24"/>
          <w:lang w:val="lt-LT"/>
        </w:rPr>
      </w:pPr>
    </w:p>
    <w:p w14:paraId="157C923B" w14:textId="77777777" w:rsidR="009A0D4D" w:rsidRPr="00DD1E5E" w:rsidRDefault="009A0D4D" w:rsidP="00417BC9">
      <w:pPr>
        <w:shd w:val="clear" w:color="auto" w:fill="FFFFFF"/>
        <w:spacing w:after="0" w:line="276" w:lineRule="auto"/>
        <w:jc w:val="both"/>
        <w:outlineLvl w:val="2"/>
        <w:rPr>
          <w:rFonts w:ascii="Times New Roman" w:eastAsia="Times New Roman" w:hAnsi="Times New Roman" w:cs="Times New Roman"/>
          <w:b/>
          <w:bCs/>
          <w:sz w:val="24"/>
          <w:szCs w:val="24"/>
          <w:lang w:val="lt-LT" w:eastAsia="lt-LT"/>
        </w:rPr>
      </w:pPr>
      <w:r w:rsidRPr="00DD1E5E">
        <w:rPr>
          <w:rFonts w:ascii="Times New Roman" w:eastAsia="Times New Roman" w:hAnsi="Times New Roman" w:cs="Times New Roman"/>
          <w:b/>
          <w:bCs/>
          <w:sz w:val="24"/>
          <w:szCs w:val="24"/>
          <w:lang w:val="lt-LT" w:eastAsia="lt-LT"/>
        </w:rPr>
        <w:t>Pašalpos dydis</w:t>
      </w:r>
    </w:p>
    <w:p w14:paraId="6702A624" w14:textId="77777777" w:rsidR="009A0D4D" w:rsidRPr="00DD1E5E" w:rsidRDefault="009A0D4D" w:rsidP="00417BC9">
      <w:pPr>
        <w:shd w:val="clear" w:color="auto" w:fill="FFFFFF"/>
        <w:spacing w:after="0" w:line="276" w:lineRule="auto"/>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spacing w:val="2"/>
          <w:sz w:val="24"/>
          <w:szCs w:val="24"/>
          <w:lang w:val="lt-LT" w:eastAsia="lt-LT"/>
        </w:rPr>
        <w:t>1. V</w:t>
      </w:r>
      <w:r w:rsidRPr="00DD1E5E">
        <w:rPr>
          <w:rFonts w:ascii="Times New Roman" w:eastAsia="Times New Roman" w:hAnsi="Times New Roman" w:cs="Times New Roman"/>
          <w:b/>
          <w:bCs/>
          <w:iCs/>
          <w:spacing w:val="2"/>
          <w:sz w:val="24"/>
          <w:szCs w:val="24"/>
          <w:lang w:val="lt-LT" w:eastAsia="lt-LT"/>
        </w:rPr>
        <w:t>ienam gyvenančiam asmeniui</w:t>
      </w:r>
      <w:r w:rsidRPr="00DD1E5E">
        <w:rPr>
          <w:rFonts w:ascii="Times New Roman" w:eastAsia="Times New Roman" w:hAnsi="Times New Roman" w:cs="Times New Roman"/>
          <w:iCs/>
          <w:spacing w:val="2"/>
          <w:sz w:val="24"/>
          <w:szCs w:val="24"/>
          <w:lang w:val="lt-LT" w:eastAsia="lt-LT"/>
        </w:rPr>
        <w:t>:</w:t>
      </w:r>
    </w:p>
    <w:p w14:paraId="6BACA292" w14:textId="77777777" w:rsidR="009A0D4D" w:rsidRPr="00DD1E5E" w:rsidRDefault="009A0D4D" w:rsidP="00417BC9">
      <w:pPr>
        <w:shd w:val="clear" w:color="auto" w:fill="FFFFFF"/>
        <w:spacing w:after="0" w:line="276" w:lineRule="auto"/>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iCs/>
          <w:spacing w:val="2"/>
          <w:sz w:val="24"/>
          <w:szCs w:val="24"/>
          <w:lang w:val="lt-LT" w:eastAsia="lt-LT"/>
        </w:rPr>
        <w:t>1) skirtumą tarp 1,4 VRP dydžio (179,2 Eur) vienam gyvenančiam asmeniui ir vidutinių vieno gyvenančio asmens pajamų per mėnesį - kai socialinė pašalpa mokama ne ilgiau kaip 6 mėnesius;</w:t>
      </w:r>
    </w:p>
    <w:p w14:paraId="58E59FAB" w14:textId="77777777" w:rsidR="009A0D4D" w:rsidRPr="00DD1E5E" w:rsidRDefault="009A0D4D" w:rsidP="00417BC9">
      <w:pPr>
        <w:shd w:val="clear" w:color="auto" w:fill="FFFFFF"/>
        <w:spacing w:after="0" w:line="276" w:lineRule="auto"/>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iCs/>
          <w:spacing w:val="2"/>
          <w:sz w:val="24"/>
          <w:szCs w:val="24"/>
          <w:lang w:val="lt-LT" w:eastAsia="lt-LT"/>
        </w:rPr>
        <w:t>2) skirtumą tarp 1,2 VRP dydžio (153,6 Eur) vienam gyvenančiam asmeniui ir vidutinių vieno gyvenančio asmens pajamų per mėnesį - kai socialinė pašalpa mokama nuo 6 iki 12 mėnesių;</w:t>
      </w:r>
    </w:p>
    <w:p w14:paraId="7C2B3ADC" w14:textId="77777777" w:rsidR="009A0D4D" w:rsidRPr="00DD1E5E" w:rsidRDefault="009A0D4D" w:rsidP="00417BC9">
      <w:pPr>
        <w:shd w:val="clear" w:color="auto" w:fill="FFFFFF"/>
        <w:spacing w:after="0" w:line="276" w:lineRule="auto"/>
        <w:jc w:val="both"/>
        <w:rPr>
          <w:rFonts w:ascii="Times New Roman" w:eastAsia="Times New Roman" w:hAnsi="Times New Roman" w:cs="Times New Roman"/>
          <w:iCs/>
          <w:spacing w:val="2"/>
          <w:sz w:val="24"/>
          <w:szCs w:val="24"/>
          <w:lang w:val="lt-LT" w:eastAsia="lt-LT"/>
        </w:rPr>
      </w:pPr>
      <w:r w:rsidRPr="00DD1E5E">
        <w:rPr>
          <w:rFonts w:ascii="Times New Roman" w:eastAsia="Times New Roman" w:hAnsi="Times New Roman" w:cs="Times New Roman"/>
          <w:iCs/>
          <w:spacing w:val="2"/>
          <w:sz w:val="24"/>
          <w:szCs w:val="24"/>
          <w:lang w:val="lt-LT" w:eastAsia="lt-LT"/>
        </w:rPr>
        <w:t>3) skirtumą tarp 1,1 VRP dydžio (140,8 Eur) vienam gyvenančiam asmeniui ir vidutinių vieno gyvenančio asmens pajamų per mėnesį - kai socialinė pašalpa mokama ilgiau kaip 12 mėnesių.</w:t>
      </w:r>
    </w:p>
    <w:p w14:paraId="217DFEAA" w14:textId="77777777" w:rsidR="009A0D4D" w:rsidRPr="00DD1E5E" w:rsidRDefault="009A0D4D" w:rsidP="00417BC9">
      <w:pPr>
        <w:shd w:val="clear" w:color="auto" w:fill="FFFFFF"/>
        <w:spacing w:after="0" w:line="276" w:lineRule="auto"/>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spacing w:val="2"/>
          <w:sz w:val="24"/>
          <w:szCs w:val="24"/>
          <w:lang w:val="lt-LT" w:eastAsia="lt-LT"/>
        </w:rPr>
        <w:t>2. </w:t>
      </w:r>
      <w:r w:rsidRPr="00DD1E5E">
        <w:rPr>
          <w:rFonts w:ascii="Times New Roman" w:eastAsia="Times New Roman" w:hAnsi="Times New Roman" w:cs="Times New Roman"/>
          <w:b/>
          <w:spacing w:val="2"/>
          <w:sz w:val="24"/>
          <w:szCs w:val="24"/>
          <w:lang w:val="lt-LT" w:eastAsia="lt-LT"/>
        </w:rPr>
        <w:t>B</w:t>
      </w:r>
      <w:r w:rsidRPr="00DD1E5E">
        <w:rPr>
          <w:rFonts w:ascii="Times New Roman" w:eastAsia="Times New Roman" w:hAnsi="Times New Roman" w:cs="Times New Roman"/>
          <w:b/>
          <w:bCs/>
          <w:spacing w:val="2"/>
          <w:sz w:val="24"/>
          <w:szCs w:val="24"/>
          <w:lang w:val="lt-LT" w:eastAsia="lt-LT"/>
        </w:rPr>
        <w:t>endrai gyvenantiems asmenims</w:t>
      </w:r>
      <w:r w:rsidRPr="00DD1E5E">
        <w:rPr>
          <w:rFonts w:ascii="Times New Roman" w:eastAsia="Times New Roman" w:hAnsi="Times New Roman" w:cs="Times New Roman"/>
          <w:spacing w:val="2"/>
          <w:sz w:val="24"/>
          <w:szCs w:val="24"/>
          <w:lang w:val="lt-LT" w:eastAsia="lt-LT"/>
        </w:rPr>
        <w:t>:</w:t>
      </w:r>
    </w:p>
    <w:p w14:paraId="799F733B" w14:textId="5BFC4C0F" w:rsidR="009A0D4D" w:rsidRPr="00DD1E5E" w:rsidRDefault="009A0D4D" w:rsidP="00417BC9">
      <w:pPr>
        <w:numPr>
          <w:ilvl w:val="0"/>
          <w:numId w:val="12"/>
        </w:numPr>
        <w:shd w:val="clear" w:color="auto" w:fill="FFFFFF"/>
        <w:tabs>
          <w:tab w:val="clear" w:pos="720"/>
          <w:tab w:val="left" w:pos="0"/>
          <w:tab w:val="left" w:pos="284"/>
        </w:tabs>
        <w:spacing w:after="0" w:line="276" w:lineRule="auto"/>
        <w:ind w:left="0" w:firstLine="0"/>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spacing w:val="2"/>
          <w:sz w:val="24"/>
          <w:szCs w:val="24"/>
          <w:lang w:val="lt-LT" w:eastAsia="lt-LT"/>
        </w:rPr>
        <w:t>pirmam bendrai gyvenančiam asmeniui – skirtumą tarp 1,1 VRP dydžio (140,8 Eur) vienam iš bendrai gyvenančių asmenų ir vidutinių pajamų vienam iš bendrai gyvenančių asmenų per mėnesį; </w:t>
      </w:r>
    </w:p>
    <w:p w14:paraId="75149677" w14:textId="00A30261" w:rsidR="009A0D4D" w:rsidRPr="00DD1E5E" w:rsidRDefault="009A0D4D" w:rsidP="00417BC9">
      <w:pPr>
        <w:numPr>
          <w:ilvl w:val="0"/>
          <w:numId w:val="12"/>
        </w:numPr>
        <w:shd w:val="clear" w:color="auto" w:fill="FFFFFF"/>
        <w:tabs>
          <w:tab w:val="clear" w:pos="720"/>
          <w:tab w:val="left" w:pos="0"/>
          <w:tab w:val="left" w:pos="284"/>
        </w:tabs>
        <w:spacing w:after="0" w:line="276" w:lineRule="auto"/>
        <w:ind w:left="0" w:firstLine="0"/>
        <w:jc w:val="both"/>
        <w:rPr>
          <w:rFonts w:ascii="Times New Roman" w:eastAsia="Times New Roman" w:hAnsi="Times New Roman" w:cs="Times New Roman"/>
          <w:color w:val="444444"/>
          <w:spacing w:val="2"/>
          <w:sz w:val="24"/>
          <w:szCs w:val="24"/>
          <w:lang w:val="lt-LT" w:eastAsia="lt-LT"/>
        </w:rPr>
      </w:pPr>
      <w:r w:rsidRPr="00DD1E5E">
        <w:rPr>
          <w:rFonts w:ascii="Times New Roman" w:eastAsia="Times New Roman" w:hAnsi="Times New Roman" w:cs="Times New Roman"/>
          <w:color w:val="000000"/>
          <w:spacing w:val="2"/>
          <w:sz w:val="24"/>
          <w:szCs w:val="24"/>
          <w:lang w:val="lt-LT" w:eastAsia="lt-LT"/>
        </w:rPr>
        <w:lastRenderedPageBreak/>
        <w:t>antram bendrai gyvenančiam asmeniui – 90 procentų skirtumo</w:t>
      </w:r>
      <w:r w:rsidRPr="00DD1E5E">
        <w:rPr>
          <w:rFonts w:ascii="Times New Roman" w:eastAsia="Times New Roman" w:hAnsi="Times New Roman" w:cs="Times New Roman"/>
          <w:color w:val="444444"/>
          <w:spacing w:val="2"/>
          <w:sz w:val="24"/>
          <w:szCs w:val="24"/>
          <w:lang w:val="lt-LT" w:eastAsia="lt-LT"/>
        </w:rPr>
        <w:t> tarp 1,1 VRP dydžio (140,8 Eur)</w:t>
      </w:r>
      <w:r w:rsidRPr="00DD1E5E">
        <w:rPr>
          <w:rFonts w:ascii="Times New Roman" w:eastAsia="Times New Roman" w:hAnsi="Times New Roman" w:cs="Times New Roman"/>
          <w:color w:val="000000"/>
          <w:spacing w:val="2"/>
          <w:sz w:val="24"/>
          <w:szCs w:val="24"/>
          <w:lang w:val="lt-LT" w:eastAsia="lt-LT"/>
        </w:rPr>
        <w:t>vienam iš bendrai gyvenančių asmenų ir vidutinių pajamų vienam iš bendrai gyvenančių asmenų per mėnesį;</w:t>
      </w:r>
    </w:p>
    <w:p w14:paraId="31DD5322" w14:textId="71C2D082" w:rsidR="009A0D4D" w:rsidRPr="00DD1E5E" w:rsidRDefault="009A0D4D" w:rsidP="00417BC9">
      <w:pPr>
        <w:numPr>
          <w:ilvl w:val="0"/>
          <w:numId w:val="12"/>
        </w:numPr>
        <w:shd w:val="clear" w:color="auto" w:fill="FFFFFF"/>
        <w:tabs>
          <w:tab w:val="clear" w:pos="720"/>
          <w:tab w:val="left" w:pos="0"/>
          <w:tab w:val="left" w:pos="284"/>
        </w:tabs>
        <w:spacing w:after="0" w:line="276" w:lineRule="auto"/>
        <w:ind w:left="0" w:firstLine="0"/>
        <w:jc w:val="both"/>
        <w:rPr>
          <w:rFonts w:ascii="Times New Roman" w:eastAsia="Times New Roman" w:hAnsi="Times New Roman" w:cs="Times New Roman"/>
          <w:color w:val="444444"/>
          <w:spacing w:val="2"/>
          <w:sz w:val="24"/>
          <w:szCs w:val="24"/>
          <w:lang w:val="lt-LT" w:eastAsia="lt-LT"/>
        </w:rPr>
      </w:pPr>
      <w:r w:rsidRPr="00DD1E5E">
        <w:rPr>
          <w:rFonts w:ascii="Times New Roman" w:eastAsia="Times New Roman" w:hAnsi="Times New Roman" w:cs="Times New Roman"/>
          <w:color w:val="000000"/>
          <w:spacing w:val="2"/>
          <w:sz w:val="24"/>
          <w:szCs w:val="24"/>
          <w:lang w:val="lt-LT" w:eastAsia="lt-LT"/>
        </w:rPr>
        <w:t>trečiam ir paskesniems bendrai gyvenantiems asmenims – </w:t>
      </w:r>
      <w:r w:rsidRPr="00DD1E5E">
        <w:rPr>
          <w:rFonts w:ascii="Times New Roman" w:eastAsia="Times New Roman" w:hAnsi="Times New Roman" w:cs="Times New Roman"/>
          <w:color w:val="444444"/>
          <w:spacing w:val="2"/>
          <w:sz w:val="24"/>
          <w:szCs w:val="24"/>
          <w:lang w:val="lt-LT" w:eastAsia="lt-LT"/>
        </w:rPr>
        <w:t>70 procentų skirtumo tarp 1,1 VRP dydžio (140,8 Eur) </w:t>
      </w:r>
      <w:r w:rsidRPr="00DD1E5E">
        <w:rPr>
          <w:rFonts w:ascii="Times New Roman" w:eastAsia="Times New Roman" w:hAnsi="Times New Roman" w:cs="Times New Roman"/>
          <w:color w:val="000000"/>
          <w:spacing w:val="2"/>
          <w:sz w:val="24"/>
          <w:szCs w:val="24"/>
          <w:lang w:val="lt-LT" w:eastAsia="lt-LT"/>
        </w:rPr>
        <w:t>vienam iš bendrai gyvenančių asmenų ir vidutinių pajamų vienam iš bendrai gyvenančių asmenų per mėnesį.</w:t>
      </w:r>
    </w:p>
    <w:p w14:paraId="59C5F327" w14:textId="57032088" w:rsidR="009A0D4D" w:rsidRPr="00DD1E5E" w:rsidRDefault="009A0D4D" w:rsidP="00417BC9">
      <w:pPr>
        <w:shd w:val="clear" w:color="auto" w:fill="FFFFFF"/>
        <w:tabs>
          <w:tab w:val="left" w:pos="0"/>
          <w:tab w:val="left" w:pos="284"/>
        </w:tabs>
        <w:spacing w:after="0" w:line="276" w:lineRule="auto"/>
        <w:jc w:val="both"/>
        <w:rPr>
          <w:rFonts w:ascii="Times New Roman" w:eastAsia="Times New Roman" w:hAnsi="Times New Roman" w:cs="Times New Roman"/>
          <w:color w:val="000000"/>
          <w:spacing w:val="2"/>
          <w:sz w:val="24"/>
          <w:szCs w:val="24"/>
          <w:lang w:val="lt-LT" w:eastAsia="lt-LT"/>
        </w:rPr>
      </w:pPr>
    </w:p>
    <w:p w14:paraId="2E03F685" w14:textId="65B59AE3" w:rsidR="009A0D4D" w:rsidRPr="00DD1E5E" w:rsidRDefault="009A0D4D" w:rsidP="00417BC9">
      <w:pPr>
        <w:shd w:val="clear" w:color="auto" w:fill="FFFFFF"/>
        <w:tabs>
          <w:tab w:val="left" w:pos="0"/>
          <w:tab w:val="left" w:pos="284"/>
        </w:tabs>
        <w:spacing w:after="0" w:line="276" w:lineRule="auto"/>
        <w:jc w:val="both"/>
        <w:rPr>
          <w:rFonts w:ascii="Times New Roman" w:eastAsia="Times New Roman" w:hAnsi="Times New Roman" w:cs="Times New Roman"/>
          <w:color w:val="000000"/>
          <w:spacing w:val="2"/>
          <w:sz w:val="24"/>
          <w:szCs w:val="24"/>
          <w:u w:val="single"/>
          <w:lang w:val="lt-LT" w:eastAsia="lt-LT"/>
        </w:rPr>
      </w:pPr>
      <w:r w:rsidRPr="00DD1E5E">
        <w:rPr>
          <w:rFonts w:ascii="Times New Roman" w:eastAsia="Times New Roman" w:hAnsi="Times New Roman" w:cs="Times New Roman"/>
          <w:color w:val="000000"/>
          <w:spacing w:val="2"/>
          <w:sz w:val="24"/>
          <w:szCs w:val="24"/>
          <w:lang w:val="lt-LT" w:eastAsia="lt-LT"/>
        </w:rPr>
        <w:t xml:space="preserve">Kaip </w:t>
      </w:r>
      <w:r w:rsidR="002B1F05" w:rsidRPr="00DD1E5E">
        <w:rPr>
          <w:rFonts w:ascii="Times New Roman" w:eastAsia="Times New Roman" w:hAnsi="Times New Roman" w:cs="Times New Roman"/>
          <w:color w:val="000000"/>
          <w:spacing w:val="2"/>
          <w:sz w:val="24"/>
          <w:szCs w:val="24"/>
          <w:lang w:val="lt-LT" w:eastAsia="lt-LT"/>
        </w:rPr>
        <w:t xml:space="preserve">matome iš aukščiau aprašytų sąlygų, </w:t>
      </w:r>
      <w:r w:rsidRPr="00DD1E5E">
        <w:rPr>
          <w:rFonts w:ascii="Times New Roman" w:eastAsia="Times New Roman" w:hAnsi="Times New Roman" w:cs="Times New Roman"/>
          <w:color w:val="000000"/>
          <w:spacing w:val="2"/>
          <w:sz w:val="24"/>
          <w:szCs w:val="24"/>
          <w:u w:val="single"/>
          <w:lang w:val="lt-LT" w:eastAsia="lt-LT"/>
        </w:rPr>
        <w:t>Valstybės remiamos pajamos (VRP)</w:t>
      </w:r>
      <w:r w:rsidRPr="00DD1E5E">
        <w:rPr>
          <w:rFonts w:ascii="Times New Roman" w:eastAsia="Times New Roman" w:hAnsi="Times New Roman" w:cs="Times New Roman"/>
          <w:color w:val="000000"/>
          <w:spacing w:val="2"/>
          <w:sz w:val="24"/>
          <w:szCs w:val="24"/>
          <w:lang w:val="lt-LT" w:eastAsia="lt-LT"/>
        </w:rPr>
        <w:t xml:space="preserve"> yra </w:t>
      </w:r>
      <w:r w:rsidR="002B1F05" w:rsidRPr="00DD1E5E">
        <w:rPr>
          <w:rFonts w:ascii="Times New Roman" w:eastAsia="Times New Roman" w:hAnsi="Times New Roman" w:cs="Times New Roman"/>
          <w:color w:val="000000"/>
          <w:spacing w:val="2"/>
          <w:sz w:val="24"/>
          <w:szCs w:val="24"/>
          <w:lang w:val="lt-LT" w:eastAsia="lt-LT"/>
        </w:rPr>
        <w:t xml:space="preserve">labai svarbus </w:t>
      </w:r>
      <w:r w:rsidRPr="00DD1E5E">
        <w:rPr>
          <w:rFonts w:ascii="Times New Roman" w:eastAsia="Times New Roman" w:hAnsi="Times New Roman" w:cs="Times New Roman"/>
          <w:color w:val="000000"/>
          <w:spacing w:val="2"/>
          <w:sz w:val="24"/>
          <w:szCs w:val="24"/>
          <w:lang w:val="lt-LT" w:eastAsia="lt-LT"/>
        </w:rPr>
        <w:t>atskaitos taškas vertinant teisę į socialinę pašalpą ir nustatant jos dydį. Kylant kainoms, augant ekonomikai ir algoms, VRP peržiūrima  - didinamos. Tačiau pastarąjį laikotarpį, ypač po 201</w:t>
      </w:r>
      <w:r w:rsidR="00B00BF7" w:rsidRPr="00DD1E5E">
        <w:rPr>
          <w:rFonts w:ascii="Times New Roman" w:eastAsia="Times New Roman" w:hAnsi="Times New Roman" w:cs="Times New Roman"/>
          <w:color w:val="000000"/>
          <w:spacing w:val="2"/>
          <w:sz w:val="24"/>
          <w:szCs w:val="24"/>
          <w:lang w:val="lt-LT" w:eastAsia="lt-LT"/>
        </w:rPr>
        <w:t>4</w:t>
      </w:r>
      <w:r w:rsidRPr="00DD1E5E">
        <w:rPr>
          <w:rFonts w:ascii="Times New Roman" w:eastAsia="Times New Roman" w:hAnsi="Times New Roman" w:cs="Times New Roman"/>
          <w:color w:val="000000"/>
          <w:spacing w:val="2"/>
          <w:sz w:val="24"/>
          <w:szCs w:val="24"/>
          <w:lang w:val="lt-LT" w:eastAsia="lt-LT"/>
        </w:rPr>
        <w:t xml:space="preserve">m. socialinės pašalpos reformos, </w:t>
      </w:r>
      <w:r w:rsidRPr="00DD1E5E">
        <w:rPr>
          <w:rFonts w:ascii="Times New Roman" w:eastAsia="Times New Roman" w:hAnsi="Times New Roman" w:cs="Times New Roman"/>
          <w:color w:val="000000"/>
          <w:spacing w:val="2"/>
          <w:sz w:val="24"/>
          <w:szCs w:val="24"/>
          <w:u w:val="single"/>
          <w:lang w:val="lt-LT" w:eastAsia="lt-LT"/>
        </w:rPr>
        <w:t>VRP didinimas sparčiai atsilieka nuo algų augimo.</w:t>
      </w:r>
      <w:r w:rsidRPr="00DD1E5E">
        <w:rPr>
          <w:rFonts w:ascii="Times New Roman" w:eastAsia="Times New Roman" w:hAnsi="Times New Roman" w:cs="Times New Roman"/>
          <w:color w:val="000000"/>
          <w:spacing w:val="2"/>
          <w:sz w:val="24"/>
          <w:szCs w:val="24"/>
          <w:lang w:val="lt-LT" w:eastAsia="lt-LT"/>
        </w:rPr>
        <w:t xml:space="preserve"> 1 paveiksl</w:t>
      </w:r>
      <w:r w:rsidR="00E04071" w:rsidRPr="00DD1E5E">
        <w:rPr>
          <w:rFonts w:ascii="Times New Roman" w:eastAsia="Times New Roman" w:hAnsi="Times New Roman" w:cs="Times New Roman"/>
          <w:color w:val="000000"/>
          <w:spacing w:val="2"/>
          <w:sz w:val="24"/>
          <w:szCs w:val="24"/>
          <w:lang w:val="lt-LT" w:eastAsia="lt-LT"/>
        </w:rPr>
        <w:t xml:space="preserve">e </w:t>
      </w:r>
      <w:r w:rsidR="002A6938" w:rsidRPr="00DD1E5E">
        <w:rPr>
          <w:rFonts w:ascii="Times New Roman" w:eastAsia="Times New Roman" w:hAnsi="Times New Roman" w:cs="Times New Roman"/>
          <w:color w:val="000000"/>
          <w:spacing w:val="2"/>
          <w:sz w:val="24"/>
          <w:szCs w:val="24"/>
          <w:lang w:val="lt-LT" w:eastAsia="lt-LT"/>
        </w:rPr>
        <w:t xml:space="preserve">parodyta, kad iki 2008m. krizės jos buvo sparčiau didinamos nei augo MMA (paveikslo kairė dalis), bet pastaraisiais metais </w:t>
      </w:r>
      <w:r w:rsidR="00E04071" w:rsidRPr="00DD1E5E">
        <w:rPr>
          <w:rFonts w:ascii="Times New Roman" w:eastAsia="Times New Roman" w:hAnsi="Times New Roman" w:cs="Times New Roman"/>
          <w:color w:val="000000"/>
          <w:spacing w:val="2"/>
          <w:sz w:val="24"/>
          <w:szCs w:val="24"/>
          <w:lang w:val="lt-LT" w:eastAsia="lt-LT"/>
        </w:rPr>
        <w:t>VRP, lyginant su MMA, nukrito nuo 34 iki</w:t>
      </w:r>
      <w:r w:rsidR="002B1F05" w:rsidRPr="00DD1E5E">
        <w:rPr>
          <w:rFonts w:ascii="Times New Roman" w:eastAsia="Times New Roman" w:hAnsi="Times New Roman" w:cs="Times New Roman"/>
          <w:color w:val="000000"/>
          <w:spacing w:val="2"/>
          <w:sz w:val="24"/>
          <w:szCs w:val="24"/>
          <w:lang w:val="lt-LT" w:eastAsia="lt-LT"/>
        </w:rPr>
        <w:t xml:space="preserve"> </w:t>
      </w:r>
      <w:r w:rsidR="00E04071" w:rsidRPr="00DD1E5E">
        <w:rPr>
          <w:rFonts w:ascii="Times New Roman" w:eastAsia="Times New Roman" w:hAnsi="Times New Roman" w:cs="Times New Roman"/>
          <w:color w:val="000000"/>
          <w:spacing w:val="2"/>
          <w:sz w:val="24"/>
          <w:szCs w:val="24"/>
          <w:lang w:val="lt-LT" w:eastAsia="lt-LT"/>
        </w:rPr>
        <w:t xml:space="preserve">26 proc. </w:t>
      </w:r>
      <w:r w:rsidR="000D5EC1" w:rsidRPr="00DD1E5E">
        <w:rPr>
          <w:rFonts w:ascii="Times New Roman" w:eastAsia="Times New Roman" w:hAnsi="Times New Roman" w:cs="Times New Roman"/>
          <w:color w:val="000000"/>
          <w:spacing w:val="2"/>
          <w:sz w:val="24"/>
          <w:szCs w:val="24"/>
          <w:lang w:val="lt-LT" w:eastAsia="lt-LT"/>
        </w:rPr>
        <w:t>(</w:t>
      </w:r>
      <w:r w:rsidR="002A6938" w:rsidRPr="00DD1E5E">
        <w:rPr>
          <w:rFonts w:ascii="Times New Roman" w:eastAsia="Times New Roman" w:hAnsi="Times New Roman" w:cs="Times New Roman"/>
          <w:color w:val="000000"/>
          <w:spacing w:val="2"/>
          <w:sz w:val="24"/>
          <w:szCs w:val="24"/>
          <w:lang w:val="lt-LT" w:eastAsia="lt-LT"/>
        </w:rPr>
        <w:t xml:space="preserve">1 paveikslo dešinėje pusėje). </w:t>
      </w:r>
      <w:r w:rsidR="000A36D8" w:rsidRPr="00DD1E5E">
        <w:rPr>
          <w:rFonts w:ascii="Times New Roman" w:eastAsia="Times New Roman" w:hAnsi="Times New Roman" w:cs="Times New Roman"/>
          <w:color w:val="000000"/>
          <w:spacing w:val="2"/>
          <w:sz w:val="24"/>
          <w:szCs w:val="24"/>
          <w:lang w:val="lt-LT" w:eastAsia="lt-LT"/>
        </w:rPr>
        <w:t xml:space="preserve">Per tris pastaruosius metus kai vidutinės algos ir nuo jų priklausančios vidutinės socialinės išmokos augo po 8-9 proc. kasmet, VRP buvo didinamos tik 2,5 proc. ir </w:t>
      </w:r>
      <w:r w:rsidR="000A36D8" w:rsidRPr="00DD1E5E">
        <w:rPr>
          <w:rFonts w:ascii="Times New Roman" w:eastAsia="Times New Roman" w:hAnsi="Times New Roman" w:cs="Times New Roman"/>
          <w:color w:val="000000"/>
          <w:spacing w:val="2"/>
          <w:sz w:val="24"/>
          <w:szCs w:val="24"/>
          <w:u w:val="single"/>
          <w:lang w:val="lt-LT" w:eastAsia="lt-LT"/>
        </w:rPr>
        <w:t xml:space="preserve">nuo 2018 iki 2021m. </w:t>
      </w:r>
      <w:r w:rsidR="00B00BF7" w:rsidRPr="00DD1E5E">
        <w:rPr>
          <w:rFonts w:ascii="Times New Roman" w:eastAsia="Times New Roman" w:hAnsi="Times New Roman" w:cs="Times New Roman"/>
          <w:color w:val="000000"/>
          <w:spacing w:val="2"/>
          <w:sz w:val="24"/>
          <w:szCs w:val="24"/>
          <w:u w:val="single"/>
          <w:lang w:val="lt-LT" w:eastAsia="lt-LT"/>
        </w:rPr>
        <w:t xml:space="preserve">VRP </w:t>
      </w:r>
      <w:r w:rsidR="000A36D8" w:rsidRPr="00DD1E5E">
        <w:rPr>
          <w:rFonts w:ascii="Times New Roman" w:eastAsia="Times New Roman" w:hAnsi="Times New Roman" w:cs="Times New Roman"/>
          <w:color w:val="000000"/>
          <w:spacing w:val="2"/>
          <w:sz w:val="24"/>
          <w:szCs w:val="24"/>
          <w:u w:val="single"/>
          <w:lang w:val="lt-LT" w:eastAsia="lt-LT"/>
        </w:rPr>
        <w:t xml:space="preserve">buvo padidintos tik 6 eurais.  </w:t>
      </w:r>
    </w:p>
    <w:p w14:paraId="0303F10D" w14:textId="77777777" w:rsidR="00444E03" w:rsidRPr="00DD1E5E" w:rsidRDefault="00444E03" w:rsidP="00417BC9">
      <w:pPr>
        <w:shd w:val="clear" w:color="auto" w:fill="FFFFFF"/>
        <w:tabs>
          <w:tab w:val="left" w:pos="0"/>
          <w:tab w:val="left" w:pos="284"/>
        </w:tabs>
        <w:spacing w:after="0" w:line="276" w:lineRule="auto"/>
        <w:jc w:val="both"/>
        <w:rPr>
          <w:rFonts w:ascii="Times New Roman" w:eastAsia="Times New Roman" w:hAnsi="Times New Roman" w:cs="Times New Roman"/>
          <w:color w:val="000000"/>
          <w:spacing w:val="2"/>
          <w:sz w:val="24"/>
          <w:szCs w:val="24"/>
          <w:u w:val="single"/>
          <w:lang w:val="lt-LT" w:eastAsia="lt-LT"/>
        </w:rPr>
      </w:pPr>
    </w:p>
    <w:p w14:paraId="61DD66DC" w14:textId="0E3CFB1E" w:rsidR="007D223F" w:rsidRPr="00DD1E5E" w:rsidRDefault="007D223F" w:rsidP="00A00BD9">
      <w:pPr>
        <w:spacing w:after="0" w:line="240" w:lineRule="auto"/>
        <w:contextualSpacing/>
        <w:jc w:val="both"/>
        <w:rPr>
          <w:rFonts w:ascii="Times New Roman" w:eastAsiaTheme="minorEastAsia" w:hAnsi="Times New Roman" w:cs="Times New Roman"/>
          <w:b/>
          <w:i/>
          <w:color w:val="000000" w:themeColor="text1"/>
          <w:sz w:val="24"/>
          <w:szCs w:val="24"/>
          <w:lang w:val="lt-LT"/>
        </w:rPr>
      </w:pPr>
      <w:r w:rsidRPr="00DD1E5E">
        <w:rPr>
          <w:rFonts w:ascii="Times New Roman" w:eastAsiaTheme="minorEastAsia" w:hAnsi="Times New Roman" w:cs="Times New Roman"/>
          <w:b/>
          <w:i/>
          <w:noProof/>
          <w:color w:val="000000" w:themeColor="text1"/>
          <w:sz w:val="24"/>
          <w:szCs w:val="24"/>
          <w:lang w:val="lt-LT" w:eastAsia="lt-LT"/>
        </w:rPr>
        <w:drawing>
          <wp:inline distT="0" distB="0" distL="0" distR="0" wp14:anchorId="547A5B14" wp14:editId="04A7A2F4">
            <wp:extent cx="6332220" cy="22904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2220" cy="2290445"/>
                    </a:xfrm>
                    <a:prstGeom prst="rect">
                      <a:avLst/>
                    </a:prstGeom>
                  </pic:spPr>
                </pic:pic>
              </a:graphicData>
            </a:graphic>
          </wp:inline>
        </w:drawing>
      </w:r>
    </w:p>
    <w:p w14:paraId="3EDFE1DE" w14:textId="77777777" w:rsidR="00DD1E5E" w:rsidRDefault="00DD1E5E" w:rsidP="006D4B43">
      <w:pPr>
        <w:shd w:val="clear" w:color="auto" w:fill="FFFFFF"/>
        <w:tabs>
          <w:tab w:val="left" w:pos="0"/>
          <w:tab w:val="left" w:pos="284"/>
        </w:tabs>
        <w:spacing w:after="0" w:line="240" w:lineRule="auto"/>
        <w:jc w:val="center"/>
        <w:rPr>
          <w:rFonts w:ascii="Times New Roman" w:eastAsia="Times New Roman" w:hAnsi="Times New Roman" w:cs="Times New Roman"/>
          <w:b/>
          <w:color w:val="000000"/>
          <w:spacing w:val="2"/>
          <w:sz w:val="24"/>
          <w:szCs w:val="24"/>
          <w:lang w:val="lt-LT" w:eastAsia="lt-LT"/>
        </w:rPr>
      </w:pPr>
    </w:p>
    <w:p w14:paraId="480C6D57" w14:textId="3E863D06" w:rsidR="000D5EC1" w:rsidRPr="00DD1E5E" w:rsidRDefault="006D4B43" w:rsidP="006D4B43">
      <w:pPr>
        <w:shd w:val="clear" w:color="auto" w:fill="FFFFFF"/>
        <w:tabs>
          <w:tab w:val="left" w:pos="0"/>
          <w:tab w:val="left" w:pos="284"/>
        </w:tabs>
        <w:spacing w:after="0" w:line="240" w:lineRule="auto"/>
        <w:jc w:val="center"/>
        <w:rPr>
          <w:rFonts w:ascii="Times New Roman" w:eastAsia="Times New Roman" w:hAnsi="Times New Roman" w:cs="Times New Roman"/>
          <w:b/>
          <w:color w:val="000000"/>
          <w:spacing w:val="2"/>
          <w:sz w:val="24"/>
          <w:szCs w:val="24"/>
          <w:lang w:val="lt-LT" w:eastAsia="lt-LT"/>
        </w:rPr>
      </w:pPr>
      <w:r w:rsidRPr="00DD1E5E">
        <w:rPr>
          <w:rFonts w:ascii="Times New Roman" w:eastAsia="Times New Roman" w:hAnsi="Times New Roman" w:cs="Times New Roman"/>
          <w:b/>
          <w:color w:val="000000"/>
          <w:spacing w:val="2"/>
          <w:sz w:val="24"/>
          <w:szCs w:val="24"/>
          <w:lang w:val="lt-LT" w:eastAsia="lt-LT"/>
        </w:rPr>
        <w:t>1 pav. Valstybės remiamos pajamos (VRP), minimali mėnesinė alga (MMA) ir jų santykis</w:t>
      </w:r>
    </w:p>
    <w:p w14:paraId="0A21A38C" w14:textId="77777777" w:rsidR="006D4B43" w:rsidRPr="00DD1E5E" w:rsidRDefault="006D4B43" w:rsidP="002B1F05">
      <w:pPr>
        <w:shd w:val="clear" w:color="auto" w:fill="FFFFFF"/>
        <w:tabs>
          <w:tab w:val="left" w:pos="0"/>
          <w:tab w:val="left" w:pos="284"/>
        </w:tabs>
        <w:spacing w:after="0" w:line="240" w:lineRule="auto"/>
        <w:jc w:val="both"/>
        <w:rPr>
          <w:rFonts w:ascii="Times New Roman" w:eastAsia="Times New Roman" w:hAnsi="Times New Roman" w:cs="Times New Roman"/>
          <w:color w:val="000000"/>
          <w:spacing w:val="2"/>
          <w:sz w:val="24"/>
          <w:szCs w:val="24"/>
          <w:lang w:val="lt-LT" w:eastAsia="lt-LT"/>
        </w:rPr>
      </w:pPr>
    </w:p>
    <w:p w14:paraId="3C911B9E" w14:textId="2A50D14C" w:rsidR="002B1F05" w:rsidRPr="00DD1E5E" w:rsidRDefault="00A540B6" w:rsidP="00417BC9">
      <w:pPr>
        <w:spacing w:line="276" w:lineRule="auto"/>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 xml:space="preserve">Skurstančiųjų  skaičius Lietuvoje pagal ES priimtą metodiką </w:t>
      </w:r>
      <w:r w:rsidR="00B00BF7" w:rsidRPr="00DD1E5E">
        <w:rPr>
          <w:rFonts w:ascii="Times New Roman" w:hAnsi="Times New Roman" w:cs="Times New Roman"/>
          <w:sz w:val="24"/>
          <w:szCs w:val="24"/>
          <w:lang w:val="lt-LT"/>
        </w:rPr>
        <w:t xml:space="preserve">yra </w:t>
      </w:r>
      <w:r w:rsidRPr="00DD1E5E">
        <w:rPr>
          <w:rFonts w:ascii="Times New Roman" w:hAnsi="Times New Roman" w:cs="Times New Roman"/>
          <w:sz w:val="24"/>
          <w:szCs w:val="24"/>
          <w:lang w:val="lt-LT"/>
        </w:rPr>
        <w:t>apie 22 proc. (600 tūkst. gyventojų), socialinės pašalpos gavėjų skaičius tik apie 2,5 proc., maždaug tik vienas iš dešimties</w:t>
      </w:r>
      <w:r w:rsidR="00B00BF7" w:rsidRPr="00DD1E5E">
        <w:rPr>
          <w:rFonts w:ascii="Times New Roman" w:hAnsi="Times New Roman" w:cs="Times New Roman"/>
          <w:sz w:val="24"/>
          <w:szCs w:val="24"/>
          <w:lang w:val="lt-LT"/>
        </w:rPr>
        <w:t xml:space="preserve"> skurstan</w:t>
      </w:r>
      <w:r w:rsidR="00444E03" w:rsidRPr="00DD1E5E">
        <w:rPr>
          <w:rFonts w:ascii="Times New Roman" w:hAnsi="Times New Roman" w:cs="Times New Roman"/>
          <w:sz w:val="24"/>
          <w:szCs w:val="24"/>
          <w:lang w:val="lt-LT"/>
        </w:rPr>
        <w:t>č</w:t>
      </w:r>
      <w:r w:rsidR="00B00BF7" w:rsidRPr="00DD1E5E">
        <w:rPr>
          <w:rFonts w:ascii="Times New Roman" w:hAnsi="Times New Roman" w:cs="Times New Roman"/>
          <w:sz w:val="24"/>
          <w:szCs w:val="24"/>
          <w:lang w:val="lt-LT"/>
        </w:rPr>
        <w:t>ių</w:t>
      </w:r>
      <w:r w:rsidRPr="00DD1E5E">
        <w:rPr>
          <w:rFonts w:ascii="Times New Roman" w:hAnsi="Times New Roman" w:cs="Times New Roman"/>
          <w:sz w:val="24"/>
          <w:szCs w:val="24"/>
          <w:lang w:val="lt-LT"/>
        </w:rPr>
        <w:t xml:space="preserve"> (žr. 2 pav.). Tarp darbingo amžiaus gyventojų Lietuvoje pašalpos gavėjų du kartus mažiau nei EBPO šalių vidurkis</w:t>
      </w:r>
      <w:r w:rsidR="00444E03" w:rsidRPr="00DD1E5E">
        <w:rPr>
          <w:rFonts w:ascii="Times New Roman" w:hAnsi="Times New Roman" w:cs="Times New Roman"/>
          <w:sz w:val="24"/>
          <w:szCs w:val="24"/>
          <w:lang w:val="lt-LT"/>
        </w:rPr>
        <w:t>,</w:t>
      </w:r>
      <w:r w:rsidR="00444E03" w:rsidRPr="00DD1E5E">
        <w:rPr>
          <w:rStyle w:val="Puslapioinaosnuoroda"/>
          <w:rFonts w:ascii="Times New Roman" w:hAnsi="Times New Roman" w:cs="Times New Roman"/>
          <w:sz w:val="24"/>
          <w:szCs w:val="24"/>
          <w:lang w:val="lt-LT"/>
        </w:rPr>
        <w:footnoteReference w:id="2"/>
      </w:r>
      <w:r w:rsidRPr="00DD1E5E">
        <w:rPr>
          <w:rFonts w:ascii="Times New Roman" w:hAnsi="Times New Roman" w:cs="Times New Roman"/>
          <w:sz w:val="24"/>
          <w:szCs w:val="24"/>
          <w:lang w:val="lt-LT"/>
        </w:rPr>
        <w:t xml:space="preserve"> nors skurdas Lietuvoje labiau paplitęs.  </w:t>
      </w:r>
      <w:r w:rsidR="00E84E2C" w:rsidRPr="00DD1E5E">
        <w:rPr>
          <w:rFonts w:ascii="Times New Roman" w:hAnsi="Times New Roman" w:cs="Times New Roman"/>
          <w:sz w:val="24"/>
          <w:szCs w:val="24"/>
          <w:lang w:val="lt-LT"/>
        </w:rPr>
        <w:t xml:space="preserve">Pandemijos metu buvo įvesta laikina 200 eurų laikina darbo paieškos išmoka, kuri buvo pagalba ir daliai labiausiai skurstančių gyventojų, bet nuo </w:t>
      </w:r>
      <w:r w:rsidR="00444E03" w:rsidRPr="00DD1E5E">
        <w:rPr>
          <w:rFonts w:ascii="Times New Roman" w:hAnsi="Times New Roman" w:cs="Times New Roman"/>
          <w:sz w:val="24"/>
          <w:szCs w:val="24"/>
          <w:lang w:val="lt-LT"/>
        </w:rPr>
        <w:t>2021m. pradžios j</w:t>
      </w:r>
      <w:r w:rsidR="00E84E2C" w:rsidRPr="00DD1E5E">
        <w:rPr>
          <w:rFonts w:ascii="Times New Roman" w:hAnsi="Times New Roman" w:cs="Times New Roman"/>
          <w:sz w:val="24"/>
          <w:szCs w:val="24"/>
          <w:lang w:val="lt-LT"/>
        </w:rPr>
        <w:t>os mokėjimas labai apribotas ir netrukus visai baigsis.</w:t>
      </w:r>
    </w:p>
    <w:p w14:paraId="5008A4F6" w14:textId="77777777" w:rsidR="00B44768" w:rsidRPr="00DD1E5E" w:rsidRDefault="00B44768" w:rsidP="00B44768">
      <w:pPr>
        <w:spacing w:after="0" w:line="240" w:lineRule="auto"/>
        <w:ind w:firstLine="720"/>
        <w:jc w:val="both"/>
        <w:rPr>
          <w:rFonts w:ascii="Times New Roman" w:hAnsi="Times New Roman" w:cs="Times New Roman"/>
          <w:sz w:val="24"/>
          <w:szCs w:val="24"/>
          <w:lang w:val="lt-LT"/>
        </w:rPr>
      </w:pPr>
      <w:r w:rsidRPr="00DD1E5E">
        <w:rPr>
          <w:rFonts w:ascii="Times New Roman" w:hAnsi="Times New Roman" w:cs="Times New Roman"/>
          <w:noProof/>
          <w:sz w:val="24"/>
          <w:szCs w:val="24"/>
          <w:lang w:val="lt-LT" w:eastAsia="lt-LT"/>
        </w:rPr>
        <w:lastRenderedPageBreak/>
        <w:drawing>
          <wp:inline distT="0" distB="0" distL="0" distR="0" wp14:anchorId="7AA8872C" wp14:editId="2E569E3E">
            <wp:extent cx="5657850" cy="22574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92BA9A" w14:textId="77777777" w:rsidR="00DD1E5E" w:rsidRDefault="00DD1E5E" w:rsidP="00B44768">
      <w:pPr>
        <w:spacing w:after="0" w:line="240" w:lineRule="auto"/>
        <w:jc w:val="center"/>
        <w:rPr>
          <w:rFonts w:ascii="Times New Roman" w:hAnsi="Times New Roman" w:cs="Times New Roman"/>
          <w:b/>
          <w:sz w:val="24"/>
          <w:szCs w:val="24"/>
          <w:lang w:val="lt-LT"/>
        </w:rPr>
      </w:pPr>
    </w:p>
    <w:p w14:paraId="76AD61FB" w14:textId="2DE8C9CE" w:rsidR="00B44768" w:rsidRPr="00DD1E5E" w:rsidRDefault="00444E03" w:rsidP="00B44768">
      <w:pPr>
        <w:spacing w:after="0" w:line="240" w:lineRule="auto"/>
        <w:jc w:val="center"/>
        <w:rPr>
          <w:rFonts w:ascii="Times New Roman" w:hAnsi="Times New Roman" w:cs="Times New Roman"/>
          <w:b/>
          <w:sz w:val="24"/>
          <w:szCs w:val="24"/>
          <w:lang w:val="lt-LT"/>
        </w:rPr>
      </w:pPr>
      <w:r w:rsidRPr="00DD1E5E">
        <w:rPr>
          <w:rFonts w:ascii="Times New Roman" w:hAnsi="Times New Roman" w:cs="Times New Roman"/>
          <w:b/>
          <w:sz w:val="24"/>
          <w:szCs w:val="24"/>
          <w:lang w:val="lt-LT"/>
        </w:rPr>
        <w:t>2</w:t>
      </w:r>
      <w:r w:rsidR="00B44768" w:rsidRPr="00DD1E5E">
        <w:rPr>
          <w:rFonts w:ascii="Times New Roman" w:hAnsi="Times New Roman" w:cs="Times New Roman"/>
          <w:b/>
          <w:sz w:val="24"/>
          <w:szCs w:val="24"/>
          <w:lang w:val="lt-LT"/>
        </w:rPr>
        <w:t xml:space="preserve"> pav. Vidutinis metinis socialinės pašalpos gavėjų skaičius (tūkst.)</w:t>
      </w:r>
    </w:p>
    <w:p w14:paraId="389EE6EC" w14:textId="2BDDA2FD" w:rsidR="009731FF" w:rsidRPr="00DD1E5E" w:rsidRDefault="009731FF" w:rsidP="009731FF">
      <w:pPr>
        <w:spacing w:after="0" w:line="240" w:lineRule="auto"/>
        <w:jc w:val="center"/>
        <w:rPr>
          <w:rStyle w:val="Hipersaitas"/>
          <w:rFonts w:ascii="Times New Roman" w:hAnsi="Times New Roman" w:cs="Times New Roman"/>
          <w:sz w:val="24"/>
          <w:szCs w:val="24"/>
          <w:lang w:val="lt-LT"/>
        </w:rPr>
      </w:pPr>
      <w:r w:rsidRPr="00DD1E5E">
        <w:rPr>
          <w:rFonts w:ascii="Times New Roman" w:hAnsi="Times New Roman" w:cs="Times New Roman"/>
          <w:sz w:val="24"/>
          <w:szCs w:val="24"/>
          <w:lang w:val="lt-LT"/>
        </w:rPr>
        <w:t>*2020m. rugsėjo mėn. Šaltinis: Socialinės politikos reakcijos į COVID-19 krizės pasekmes</w:t>
      </w:r>
    </w:p>
    <w:p w14:paraId="15CA4EB7" w14:textId="707172ED" w:rsidR="00B00BF7" w:rsidRPr="00DD1E5E" w:rsidRDefault="007815CA" w:rsidP="00417BC9">
      <w:pPr>
        <w:spacing w:after="0" w:line="240" w:lineRule="auto"/>
        <w:rPr>
          <w:rFonts w:ascii="Times New Roman" w:hAnsi="Times New Roman" w:cs="Times New Roman"/>
          <w:sz w:val="24"/>
          <w:szCs w:val="24"/>
          <w:lang w:val="lt-LT"/>
        </w:rPr>
      </w:pPr>
      <w:hyperlink r:id="rId10" w:history="1">
        <w:r w:rsidR="009731FF" w:rsidRPr="00DD1E5E">
          <w:rPr>
            <w:rStyle w:val="Hipersaitas"/>
            <w:rFonts w:ascii="Times New Roman" w:hAnsi="Times New Roman" w:cs="Times New Roman"/>
            <w:sz w:val="24"/>
            <w:szCs w:val="24"/>
            <w:lang w:val="lt-LT"/>
          </w:rPr>
          <w:t>https://naujienos.vu.lt/vu-mokslininkai-parenge-socialines-politikos-rekomendacijas-lietuvai-del-covid-19-krizes-padariniu-sumazinimo/</w:t>
        </w:r>
      </w:hyperlink>
      <w:r w:rsidR="009731FF" w:rsidRPr="00DD1E5E">
        <w:rPr>
          <w:rFonts w:ascii="Times New Roman" w:hAnsi="Times New Roman" w:cs="Times New Roman"/>
          <w:sz w:val="24"/>
          <w:szCs w:val="24"/>
          <w:lang w:val="lt-LT"/>
        </w:rPr>
        <w:t xml:space="preserve"> </w:t>
      </w:r>
    </w:p>
    <w:p w14:paraId="4B52E41C" w14:textId="77777777" w:rsidR="009731FF" w:rsidRPr="00DD1E5E" w:rsidRDefault="009731FF" w:rsidP="00417BC9">
      <w:pPr>
        <w:spacing w:after="0" w:line="240" w:lineRule="auto"/>
        <w:rPr>
          <w:rFonts w:ascii="Times New Roman" w:hAnsi="Times New Roman" w:cs="Times New Roman"/>
          <w:sz w:val="24"/>
          <w:szCs w:val="24"/>
          <w:lang w:val="lt-LT"/>
        </w:rPr>
      </w:pPr>
    </w:p>
    <w:p w14:paraId="60BBD0E3" w14:textId="77777777" w:rsidR="00444E03" w:rsidRPr="00DD1E5E" w:rsidRDefault="00444E03" w:rsidP="00417BC9">
      <w:pPr>
        <w:spacing w:line="276" w:lineRule="auto"/>
        <w:ind w:firstLine="720"/>
        <w:jc w:val="both"/>
        <w:rPr>
          <w:rFonts w:ascii="Times New Roman" w:eastAsia="Times New Roman" w:hAnsi="Times New Roman" w:cs="Times New Roman"/>
          <w:color w:val="000000"/>
          <w:spacing w:val="2"/>
          <w:sz w:val="24"/>
          <w:szCs w:val="24"/>
          <w:lang w:val="lt-LT" w:eastAsia="lt-LT"/>
        </w:rPr>
      </w:pPr>
      <w:r w:rsidRPr="00DD1E5E">
        <w:rPr>
          <w:rFonts w:ascii="Times New Roman" w:eastAsia="Times New Roman" w:hAnsi="Times New Roman" w:cs="Times New Roman"/>
          <w:color w:val="000000"/>
          <w:spacing w:val="2"/>
          <w:sz w:val="24"/>
          <w:szCs w:val="24"/>
          <w:lang w:val="lt-LT" w:eastAsia="lt-LT"/>
        </w:rPr>
        <w:t>Nuo 2014m., viena vertus, nuspręsta socialinei pašalpai centrinės valdžios skiriamas, bet nepanaudotas lėšas savivaldybėms palikti naudoti kitoms reikmėms. Tai paskatino savivaldybes “taupyti” pašalpos sąskaita, gavėjų skaičius krito drastiškai – nuo 190  tūkst. 2013 m. iki 65 tūkst. 2019m. ( 2 pav.). Antra vertus, VRP didinimas labai vėlinamas ir jis santykinai mažėja, lyginant su MMA.  Tas taip pat prisideda prie remiamųjų skaičiaus mažėjimo, o vidutinis socialinės pašalpos dydis yra neadekvatus - 2020 m. I-III ketv. duomenimis, vidutinis socialinės pašalpos dydis per mėnesį vienam gyventojui 88,2 Eur. Tuo metu 2020m. savivaldybės nepanaudojo net 70 procentų lėšų, skirtų socialinėms išmokoms.</w:t>
      </w:r>
      <w:r w:rsidRPr="00DD1E5E">
        <w:rPr>
          <w:rStyle w:val="Puslapioinaosnuoroda"/>
          <w:rFonts w:ascii="Times New Roman" w:eastAsia="Times New Roman" w:hAnsi="Times New Roman" w:cs="Times New Roman"/>
          <w:color w:val="000000"/>
          <w:spacing w:val="2"/>
          <w:sz w:val="24"/>
          <w:szCs w:val="24"/>
          <w:lang w:val="lt-LT" w:eastAsia="lt-LT"/>
        </w:rPr>
        <w:footnoteReference w:id="3"/>
      </w:r>
      <w:r w:rsidRPr="00DD1E5E">
        <w:rPr>
          <w:rFonts w:ascii="Times New Roman" w:eastAsia="Times New Roman" w:hAnsi="Times New Roman" w:cs="Times New Roman"/>
          <w:color w:val="000000"/>
          <w:spacing w:val="2"/>
          <w:sz w:val="24"/>
          <w:szCs w:val="24"/>
          <w:lang w:val="lt-LT" w:eastAsia="lt-LT"/>
        </w:rPr>
        <w:t xml:space="preserve"> Vidutinė socialinė pašalpa sudaro tik apie penktadalį skurdo rizikos ribos vienam asmeniui (3 pav.).</w:t>
      </w:r>
    </w:p>
    <w:p w14:paraId="3E771D36" w14:textId="77777777" w:rsidR="00B44768" w:rsidRPr="00DD1E5E" w:rsidRDefault="00B44768" w:rsidP="00B44768">
      <w:pPr>
        <w:spacing w:after="0" w:line="240" w:lineRule="auto"/>
        <w:ind w:firstLine="720"/>
        <w:jc w:val="both"/>
        <w:rPr>
          <w:rFonts w:ascii="Times New Roman" w:hAnsi="Times New Roman" w:cs="Times New Roman"/>
          <w:sz w:val="24"/>
          <w:szCs w:val="24"/>
          <w:lang w:val="lt-LT"/>
        </w:rPr>
      </w:pPr>
    </w:p>
    <w:p w14:paraId="7836ECED" w14:textId="77777777" w:rsidR="00E84E2C" w:rsidRPr="00DD1E5E" w:rsidRDefault="00E84E2C" w:rsidP="00E84E2C">
      <w:pPr>
        <w:spacing w:after="0" w:line="240" w:lineRule="auto"/>
        <w:rPr>
          <w:rFonts w:ascii="Times New Roman" w:hAnsi="Times New Roman" w:cs="Times New Roman"/>
          <w:b/>
          <w:sz w:val="24"/>
          <w:szCs w:val="24"/>
          <w:lang w:val="lt-LT"/>
        </w:rPr>
      </w:pPr>
      <w:r w:rsidRPr="00DD1E5E">
        <w:rPr>
          <w:rFonts w:ascii="Times New Roman" w:hAnsi="Times New Roman" w:cs="Times New Roman"/>
          <w:noProof/>
          <w:sz w:val="24"/>
          <w:szCs w:val="24"/>
          <w:lang w:val="lt-LT" w:eastAsia="lt-LT"/>
        </w:rPr>
        <w:lastRenderedPageBreak/>
        <w:drawing>
          <wp:inline distT="0" distB="0" distL="0" distR="0" wp14:anchorId="6DB1DCFB" wp14:editId="5B778DE1">
            <wp:extent cx="6281531" cy="2743200"/>
            <wp:effectExtent l="0" t="0" r="5080" b="0"/>
            <wp:docPr id="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2C2DDD" w14:textId="77777777" w:rsidR="00E84E2C" w:rsidRPr="00DD1E5E" w:rsidRDefault="00E84E2C" w:rsidP="00E84E2C">
      <w:pPr>
        <w:spacing w:after="0" w:line="240" w:lineRule="auto"/>
        <w:jc w:val="center"/>
        <w:rPr>
          <w:rFonts w:ascii="Times New Roman" w:hAnsi="Times New Roman" w:cs="Times New Roman"/>
          <w:b/>
          <w:sz w:val="24"/>
          <w:szCs w:val="24"/>
          <w:lang w:val="lt-LT"/>
        </w:rPr>
      </w:pPr>
    </w:p>
    <w:p w14:paraId="2FE87B89" w14:textId="3B819E3A" w:rsidR="00E84E2C" w:rsidRPr="00DD1E5E" w:rsidRDefault="00444E03" w:rsidP="00E84E2C">
      <w:pPr>
        <w:spacing w:after="0" w:line="240" w:lineRule="auto"/>
        <w:jc w:val="center"/>
        <w:rPr>
          <w:rFonts w:ascii="Times New Roman" w:hAnsi="Times New Roman" w:cs="Times New Roman"/>
          <w:b/>
          <w:sz w:val="24"/>
          <w:szCs w:val="24"/>
          <w:lang w:val="lt-LT"/>
        </w:rPr>
      </w:pPr>
      <w:r w:rsidRPr="00DD1E5E">
        <w:rPr>
          <w:rFonts w:ascii="Times New Roman" w:hAnsi="Times New Roman" w:cs="Times New Roman"/>
          <w:b/>
          <w:sz w:val="24"/>
          <w:szCs w:val="24"/>
          <w:lang w:val="lt-LT"/>
        </w:rPr>
        <w:t>3</w:t>
      </w:r>
      <w:r w:rsidR="00E84E2C" w:rsidRPr="00DD1E5E">
        <w:rPr>
          <w:rFonts w:ascii="Times New Roman" w:hAnsi="Times New Roman" w:cs="Times New Roman"/>
          <w:b/>
          <w:sz w:val="24"/>
          <w:szCs w:val="24"/>
          <w:lang w:val="lt-LT"/>
        </w:rPr>
        <w:t xml:space="preserve"> pav. </w:t>
      </w:r>
      <w:r w:rsidRPr="00DD1E5E">
        <w:rPr>
          <w:rFonts w:ascii="Times New Roman" w:hAnsi="Times New Roman" w:cs="Times New Roman"/>
          <w:b/>
          <w:sz w:val="24"/>
          <w:szCs w:val="24"/>
          <w:lang w:val="lt-LT"/>
        </w:rPr>
        <w:t>Skurdo rizikos ribos vienam asmeniui dydis eurais (kairė skalė) ir v</w:t>
      </w:r>
      <w:r w:rsidR="00E84E2C" w:rsidRPr="00DD1E5E">
        <w:rPr>
          <w:rFonts w:ascii="Times New Roman" w:hAnsi="Times New Roman" w:cs="Times New Roman"/>
          <w:b/>
          <w:sz w:val="24"/>
          <w:szCs w:val="24"/>
          <w:lang w:val="lt-LT"/>
        </w:rPr>
        <w:t xml:space="preserve">idutinės socialinės pašalpos </w:t>
      </w:r>
      <w:r w:rsidRPr="00DD1E5E">
        <w:rPr>
          <w:rFonts w:ascii="Times New Roman" w:hAnsi="Times New Roman" w:cs="Times New Roman"/>
          <w:b/>
          <w:sz w:val="24"/>
          <w:szCs w:val="24"/>
          <w:lang w:val="lt-LT"/>
        </w:rPr>
        <w:t>dydis procentais nuo skurdo ribos (dešinė skalė)</w:t>
      </w:r>
      <w:r w:rsidR="00E84E2C" w:rsidRPr="00DD1E5E">
        <w:rPr>
          <w:rFonts w:ascii="Times New Roman" w:hAnsi="Times New Roman" w:cs="Times New Roman"/>
          <w:b/>
          <w:sz w:val="24"/>
          <w:szCs w:val="24"/>
          <w:lang w:val="lt-LT"/>
        </w:rPr>
        <w:t xml:space="preserve"> </w:t>
      </w:r>
    </w:p>
    <w:p w14:paraId="7424096A" w14:textId="18FEBF01" w:rsidR="00DA0B8A" w:rsidRPr="00DD1E5E" w:rsidRDefault="00DA0B8A" w:rsidP="00DA0B8A">
      <w:pPr>
        <w:spacing w:after="0" w:line="240" w:lineRule="auto"/>
        <w:jc w:val="center"/>
        <w:rPr>
          <w:rFonts w:ascii="Times New Roman" w:hAnsi="Times New Roman" w:cs="Times New Roman"/>
          <w:sz w:val="24"/>
          <w:szCs w:val="24"/>
          <w:lang w:val="lt-LT"/>
        </w:rPr>
      </w:pPr>
      <w:r w:rsidRPr="00DD1E5E">
        <w:rPr>
          <w:rFonts w:ascii="Times New Roman" w:hAnsi="Times New Roman" w:cs="Times New Roman"/>
          <w:sz w:val="24"/>
          <w:szCs w:val="24"/>
          <w:lang w:val="lt-LT"/>
        </w:rPr>
        <w:t>Šaltinis: Socialinės politikos reakcijos į COVID-19 krizės pasekmes</w:t>
      </w:r>
    </w:p>
    <w:p w14:paraId="258A1475" w14:textId="6EB32B2F" w:rsidR="00DA0B8A" w:rsidRPr="00DD1E5E" w:rsidRDefault="007815CA" w:rsidP="00DA0B8A">
      <w:pPr>
        <w:spacing w:after="0" w:line="240" w:lineRule="auto"/>
        <w:jc w:val="center"/>
        <w:rPr>
          <w:rFonts w:ascii="Times New Roman" w:hAnsi="Times New Roman" w:cs="Times New Roman"/>
          <w:sz w:val="24"/>
          <w:szCs w:val="24"/>
          <w:lang w:val="lt-LT"/>
        </w:rPr>
      </w:pPr>
      <w:hyperlink r:id="rId12" w:history="1">
        <w:r w:rsidR="00DA0B8A" w:rsidRPr="00DD1E5E">
          <w:rPr>
            <w:rStyle w:val="Hipersaitas"/>
            <w:rFonts w:ascii="Times New Roman" w:hAnsi="Times New Roman" w:cs="Times New Roman"/>
            <w:color w:val="auto"/>
            <w:sz w:val="24"/>
            <w:szCs w:val="24"/>
            <w:lang w:val="lt-LT"/>
          </w:rPr>
          <w:t>https://naujienos.vu.lt/vu-mokslininkai-parenge-socialines-politikos-rekomendacijas-lietuvai-del-covid-19-krizes-padariniu-sumazinimo/</w:t>
        </w:r>
      </w:hyperlink>
      <w:r w:rsidR="00DA0B8A" w:rsidRPr="00DD1E5E">
        <w:rPr>
          <w:rFonts w:ascii="Times New Roman" w:hAnsi="Times New Roman" w:cs="Times New Roman"/>
          <w:sz w:val="24"/>
          <w:szCs w:val="24"/>
          <w:lang w:val="lt-LT"/>
        </w:rPr>
        <w:t xml:space="preserve">  </w:t>
      </w:r>
    </w:p>
    <w:p w14:paraId="04E6BE06" w14:textId="4018027B" w:rsidR="009731FF" w:rsidRPr="00DD1E5E" w:rsidRDefault="009731FF" w:rsidP="00E84E2C">
      <w:pPr>
        <w:spacing w:after="0" w:line="240" w:lineRule="auto"/>
        <w:jc w:val="center"/>
        <w:rPr>
          <w:rFonts w:ascii="Times New Roman" w:hAnsi="Times New Roman" w:cs="Times New Roman"/>
          <w:sz w:val="24"/>
          <w:szCs w:val="24"/>
          <w:lang w:val="lt-LT"/>
        </w:rPr>
      </w:pPr>
    </w:p>
    <w:p w14:paraId="523E46B9" w14:textId="6E8E49EE" w:rsidR="00444E03" w:rsidRPr="00DD1E5E" w:rsidRDefault="00444E03" w:rsidP="00417BC9">
      <w:pPr>
        <w:pStyle w:val="Puslapioinaostekstas"/>
        <w:spacing w:line="276" w:lineRule="auto"/>
        <w:ind w:firstLine="720"/>
        <w:rPr>
          <w:rFonts w:ascii="Times New Roman" w:hAnsi="Times New Roman"/>
          <w:sz w:val="24"/>
          <w:szCs w:val="24"/>
          <w:u w:val="single"/>
        </w:rPr>
      </w:pPr>
      <w:r w:rsidRPr="00DD1E5E">
        <w:rPr>
          <w:rFonts w:ascii="Times New Roman" w:hAnsi="Times New Roman"/>
          <w:sz w:val="24"/>
          <w:szCs w:val="24"/>
        </w:rPr>
        <w:t xml:space="preserve">Valstybės kontrolė atliko socialinės paramos sistemos auditą, kuriuo nustatė, kad </w:t>
      </w:r>
      <w:r w:rsidRPr="00DD1E5E">
        <w:rPr>
          <w:rFonts w:ascii="Times New Roman" w:hAnsi="Times New Roman"/>
          <w:sz w:val="24"/>
          <w:szCs w:val="24"/>
          <w:u w:val="single"/>
        </w:rPr>
        <w:t>socialinė parama neužtikrina daugumos gyventojų net minimalių vartojimo poreikių</w:t>
      </w:r>
      <w:r w:rsidR="00417BC9" w:rsidRPr="00DD1E5E">
        <w:rPr>
          <w:rFonts w:ascii="Times New Roman" w:hAnsi="Times New Roman"/>
          <w:sz w:val="24"/>
          <w:szCs w:val="24"/>
          <w:u w:val="single"/>
        </w:rPr>
        <w:t xml:space="preserve"> (4 pav.)</w:t>
      </w:r>
      <w:r w:rsidRPr="00DD1E5E">
        <w:rPr>
          <w:rFonts w:ascii="Times New Roman" w:hAnsi="Times New Roman"/>
          <w:sz w:val="24"/>
          <w:szCs w:val="24"/>
        </w:rPr>
        <w:t>. Užtikrina minimalius poreikius tik 14 proc. tirtų paramą gaunačių namų ūkių, o iš vienišų gyventojų – tik 3 proc. tirtų paramos gavėjų (tirti 426 atvejai 12-oje savivaldybių)</w:t>
      </w:r>
      <w:r w:rsidRPr="00DD1E5E">
        <w:rPr>
          <w:rFonts w:ascii="Times New Roman" w:hAnsi="Times New Roman"/>
          <w:sz w:val="24"/>
          <w:szCs w:val="24"/>
          <w:lang w:eastAsia="lt-LT"/>
        </w:rPr>
        <w:t>.</w:t>
      </w:r>
      <w:r w:rsidRPr="00DD1E5E">
        <w:rPr>
          <w:rStyle w:val="Puslapioinaosnuoroda"/>
          <w:rFonts w:ascii="Times New Roman" w:hAnsi="Times New Roman"/>
          <w:sz w:val="24"/>
          <w:szCs w:val="24"/>
          <w:lang w:eastAsia="lt-LT"/>
        </w:rPr>
        <w:footnoteReference w:id="4"/>
      </w:r>
      <w:r w:rsidRPr="00DD1E5E">
        <w:rPr>
          <w:rFonts w:ascii="Times New Roman" w:hAnsi="Times New Roman"/>
          <w:sz w:val="24"/>
          <w:szCs w:val="24"/>
          <w:lang w:eastAsia="lt-LT"/>
        </w:rPr>
        <w:t xml:space="preserve"> Taigi, </w:t>
      </w:r>
      <w:r w:rsidRPr="00DD1E5E">
        <w:rPr>
          <w:rFonts w:ascii="Times New Roman" w:hAnsi="Times New Roman"/>
          <w:sz w:val="24"/>
          <w:szCs w:val="24"/>
          <w:u w:val="single"/>
          <w:lang w:eastAsia="lt-LT"/>
        </w:rPr>
        <w:t xml:space="preserve">socialinės pašalpos sistema neatlieka jai priskirtos funkcijos. </w:t>
      </w:r>
    </w:p>
    <w:p w14:paraId="2066FE3E" w14:textId="2CD596E1" w:rsidR="00E84E2C" w:rsidRPr="00DD1E5E" w:rsidRDefault="00417BC9" w:rsidP="00B44768">
      <w:pPr>
        <w:spacing w:after="0" w:line="240" w:lineRule="auto"/>
        <w:ind w:firstLine="720"/>
        <w:jc w:val="both"/>
        <w:rPr>
          <w:rStyle w:val="tlid-translation"/>
          <w:rFonts w:ascii="Times New Roman" w:hAnsi="Times New Roman" w:cs="Times New Roman"/>
          <w:color w:val="0070C0"/>
          <w:sz w:val="24"/>
          <w:szCs w:val="24"/>
          <w:lang w:val="lt-LT"/>
        </w:rPr>
      </w:pPr>
      <w:r w:rsidRPr="00DD1E5E">
        <w:rPr>
          <w:rStyle w:val="tlid-translation"/>
          <w:rFonts w:ascii="Times New Roman" w:hAnsi="Times New Roman" w:cs="Times New Roman"/>
          <w:noProof/>
          <w:color w:val="0070C0"/>
          <w:sz w:val="24"/>
          <w:szCs w:val="24"/>
          <w:lang w:val="lt-LT" w:eastAsia="lt-LT"/>
        </w:rPr>
        <w:drawing>
          <wp:inline distT="0" distB="0" distL="0" distR="0" wp14:anchorId="1909FFFF" wp14:editId="7131B22D">
            <wp:extent cx="4638675" cy="214260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4441" cy="2149882"/>
                    </a:xfrm>
                    <a:prstGeom prst="rect">
                      <a:avLst/>
                    </a:prstGeom>
                  </pic:spPr>
                </pic:pic>
              </a:graphicData>
            </a:graphic>
          </wp:inline>
        </w:drawing>
      </w:r>
    </w:p>
    <w:p w14:paraId="7AF631E3" w14:textId="128AE15C" w:rsidR="00AC4CCA" w:rsidRPr="00DD1E5E" w:rsidRDefault="00417BC9" w:rsidP="00417BC9">
      <w:pPr>
        <w:pStyle w:val="Puslapioinaostekstas"/>
        <w:jc w:val="center"/>
        <w:rPr>
          <w:rFonts w:ascii="Times New Roman" w:hAnsi="Times New Roman"/>
          <w:sz w:val="24"/>
          <w:szCs w:val="24"/>
        </w:rPr>
      </w:pPr>
      <w:r w:rsidRPr="00DD1E5E">
        <w:rPr>
          <w:rFonts w:ascii="Times New Roman" w:hAnsi="Times New Roman"/>
          <w:sz w:val="24"/>
          <w:szCs w:val="24"/>
        </w:rPr>
        <w:t>4</w:t>
      </w:r>
      <w:r w:rsidR="00AC4CCA" w:rsidRPr="00DD1E5E">
        <w:rPr>
          <w:rFonts w:ascii="Times New Roman" w:hAnsi="Times New Roman"/>
          <w:sz w:val="24"/>
          <w:szCs w:val="24"/>
        </w:rPr>
        <w:t xml:space="preserve"> pav. Valstybės kontrolės auditas apie socialinės paramos veiksmingumą.</w:t>
      </w:r>
    </w:p>
    <w:p w14:paraId="0A4D91D1" w14:textId="74A56812" w:rsidR="00AC4CCA" w:rsidRPr="00DD1E5E" w:rsidRDefault="00417BC9" w:rsidP="00417BC9">
      <w:pPr>
        <w:pStyle w:val="Puslapioinaostekstas"/>
        <w:jc w:val="center"/>
        <w:rPr>
          <w:rFonts w:ascii="Times New Roman" w:hAnsi="Times New Roman"/>
          <w:sz w:val="24"/>
          <w:szCs w:val="24"/>
        </w:rPr>
      </w:pPr>
      <w:r w:rsidRPr="00DD1E5E">
        <w:rPr>
          <w:rFonts w:ascii="Times New Roman" w:hAnsi="Times New Roman"/>
          <w:sz w:val="24"/>
          <w:szCs w:val="24"/>
        </w:rPr>
        <w:t>Šaltinis: Valstybės kontrolės audito ataskaita „Ar socialinė parama užtikrina skurdžiai gyvenančių asmenų minimalius vartojimo poreikius ir skatina įsitraukti į darbo rinką“ (2019 m. liepos 29 d. Nr. VA-5),</w:t>
      </w:r>
    </w:p>
    <w:p w14:paraId="5C25469B" w14:textId="30A06606" w:rsidR="00B44768" w:rsidRPr="00DD1E5E" w:rsidRDefault="00B44768" w:rsidP="00417BC9">
      <w:pPr>
        <w:spacing w:after="0" w:line="276" w:lineRule="auto"/>
        <w:ind w:firstLine="720"/>
        <w:jc w:val="both"/>
        <w:rPr>
          <w:rStyle w:val="tlid-translation"/>
          <w:rFonts w:ascii="Times New Roman" w:hAnsi="Times New Roman" w:cs="Times New Roman"/>
          <w:sz w:val="24"/>
          <w:szCs w:val="24"/>
          <w:lang w:val="lt-LT"/>
        </w:rPr>
      </w:pPr>
      <w:r w:rsidRPr="00DD1E5E">
        <w:rPr>
          <w:rStyle w:val="tlid-translation"/>
          <w:rFonts w:ascii="Times New Roman" w:hAnsi="Times New Roman" w:cs="Times New Roman"/>
          <w:sz w:val="24"/>
          <w:szCs w:val="24"/>
          <w:lang w:val="lt-LT"/>
        </w:rPr>
        <w:lastRenderedPageBreak/>
        <w:t xml:space="preserve">Menka socialinė pašalpa dažnai valdžių ir SADM teisinama tuo, kad tie žmonės gauna dar ir kitokią paramą, t.y. parama mokyklinėms priemonėms, vaiko pinigai ir kt. parama. Tačiau tai yra išsukinėjimai nuo klausimo dėl pašalpos mažumo, nes kitų išmokų paskirtis yra kita. </w:t>
      </w:r>
      <w:r w:rsidRPr="00DD1E5E">
        <w:rPr>
          <w:rStyle w:val="tlid-translation"/>
          <w:rFonts w:ascii="Times New Roman" w:hAnsi="Times New Roman" w:cs="Times New Roman"/>
          <w:sz w:val="24"/>
          <w:szCs w:val="24"/>
          <w:u w:val="single"/>
          <w:lang w:val="lt-LT"/>
        </w:rPr>
        <w:t>Kiekviena išmoka turi savo paskirtį</w:t>
      </w:r>
      <w:r w:rsidRPr="00DD1E5E">
        <w:rPr>
          <w:rStyle w:val="tlid-translation"/>
          <w:rFonts w:ascii="Times New Roman" w:hAnsi="Times New Roman" w:cs="Times New Roman"/>
          <w:sz w:val="24"/>
          <w:szCs w:val="24"/>
          <w:lang w:val="lt-LT"/>
        </w:rPr>
        <w:t xml:space="preserve">, pvz., vaiko pinigai yra visuomenės solidarumas padedant vieni kitiems išlaikyti vaikus, bet juk tėvai  negali vaiko pinigų leisti ne vaikų reikmėms, be to iš socialinės pašalpos turi išgyventi suaugę, kurie neturi vaikų. Juo labiau, išmokos mokyklinėms priemonėms, ar šildymo išlaidų kompensacijos. Už jas nenusipirksi nei maisto, nei muilo, nesusimokėsi už ryšio paslaugas.  </w:t>
      </w:r>
    </w:p>
    <w:p w14:paraId="1476B36C" w14:textId="6300E0F5" w:rsidR="00417BC9" w:rsidRPr="00DD1E5E" w:rsidRDefault="00417BC9" w:rsidP="00417BC9">
      <w:pPr>
        <w:spacing w:after="0" w:line="276" w:lineRule="auto"/>
        <w:ind w:firstLine="720"/>
        <w:jc w:val="both"/>
        <w:rPr>
          <w:rStyle w:val="tlid-translation"/>
          <w:rFonts w:ascii="Times New Roman" w:hAnsi="Times New Roman" w:cs="Times New Roman"/>
          <w:sz w:val="24"/>
          <w:szCs w:val="24"/>
          <w:lang w:val="lt-LT"/>
        </w:rPr>
      </w:pPr>
      <w:r w:rsidRPr="00DD1E5E">
        <w:rPr>
          <w:rStyle w:val="tlid-translation"/>
          <w:rFonts w:ascii="Times New Roman" w:hAnsi="Times New Roman" w:cs="Times New Roman"/>
          <w:sz w:val="24"/>
          <w:szCs w:val="24"/>
          <w:lang w:val="lt-LT"/>
        </w:rPr>
        <w:t xml:space="preserve">Socialinės pašalpos tiesioginė paskirtis garantuoti pajamų minimumą, už kurį asmuo galėtų išgyventi net jei kitos socialinės apsaugos priemonės teikia pagalbą dėl specifinių sąlygų, t.y. mokymo priemonių, vaikų išlaikymo, specialių poreikių  </w:t>
      </w:r>
      <w:r w:rsidR="00475A7B" w:rsidRPr="00DD1E5E">
        <w:rPr>
          <w:rStyle w:val="tlid-translation"/>
          <w:rFonts w:ascii="Times New Roman" w:hAnsi="Times New Roman" w:cs="Times New Roman"/>
          <w:sz w:val="24"/>
          <w:szCs w:val="24"/>
          <w:lang w:val="lt-LT"/>
        </w:rPr>
        <w:t xml:space="preserve">dėl negalios ar nesavarankiškumo senatvėje. Vis tiek yra būtiniausi poreikiai maistui, higienos priemonėms, ryšio ir transporto paslaugoms, elektros, dujų sąnaudų, būtinos buitinės technikos įsigijimas, remontas ir daugelis kitų poreikių, kuriems dalis žmonių neturi teisės į socialinio draudimo išmokas arba jų dydis per menkas turint išlaikytinių, o taip pat kai neužsidirba pakankamai ar nedirba. </w:t>
      </w:r>
    </w:p>
    <w:p w14:paraId="48393DF6" w14:textId="7E3169AE" w:rsidR="00475A7B" w:rsidRPr="00DD1E5E" w:rsidRDefault="00475A7B" w:rsidP="00475A7B">
      <w:pPr>
        <w:spacing w:after="0" w:line="276" w:lineRule="auto"/>
        <w:ind w:firstLine="720"/>
        <w:jc w:val="both"/>
        <w:rPr>
          <w:rFonts w:ascii="Times New Roman" w:eastAsia="Times New Roman" w:hAnsi="Times New Roman" w:cs="Times New Roman"/>
          <w:spacing w:val="2"/>
          <w:sz w:val="24"/>
          <w:szCs w:val="24"/>
          <w:lang w:val="lt-LT" w:eastAsia="lt-LT"/>
        </w:rPr>
      </w:pPr>
      <w:r w:rsidRPr="00DD1E5E">
        <w:rPr>
          <w:rStyle w:val="tlid-translation"/>
          <w:rFonts w:ascii="Times New Roman" w:hAnsi="Times New Roman" w:cs="Times New Roman"/>
          <w:sz w:val="24"/>
          <w:szCs w:val="24"/>
          <w:lang w:val="lt-LT"/>
        </w:rPr>
        <w:t xml:space="preserve">Dar vienas tipiškas atsikalbinėjimo argumentas – didesnė socialinė pašalpa arba platesnis jos gaunančiųjų ratas ribotų pastangas dirbti. Tačiau įstatymas numato, kad ši pašalpa darbingiems asmenims mokama tik kai jie dirba bent </w:t>
      </w:r>
      <w:r w:rsidR="00B00BF7" w:rsidRPr="00DD1E5E">
        <w:rPr>
          <w:rFonts w:ascii="Times New Roman" w:eastAsia="Times New Roman" w:hAnsi="Times New Roman" w:cs="Times New Roman"/>
          <w:spacing w:val="2"/>
          <w:sz w:val="24"/>
          <w:szCs w:val="24"/>
          <w:lang w:val="lt-LT" w:eastAsia="lt-LT"/>
        </w:rPr>
        <w:t xml:space="preserve">2/3 etato arba </w:t>
      </w:r>
      <w:r w:rsidRPr="00DD1E5E">
        <w:rPr>
          <w:rFonts w:ascii="Times New Roman" w:eastAsia="Times New Roman" w:hAnsi="Times New Roman" w:cs="Times New Roman"/>
          <w:spacing w:val="2"/>
          <w:sz w:val="24"/>
          <w:szCs w:val="24"/>
          <w:lang w:val="lt-LT" w:eastAsia="lt-LT"/>
        </w:rPr>
        <w:t xml:space="preserve">yra </w:t>
      </w:r>
      <w:r w:rsidR="00B00BF7" w:rsidRPr="00DD1E5E">
        <w:rPr>
          <w:rFonts w:ascii="Times New Roman" w:eastAsia="Times New Roman" w:hAnsi="Times New Roman" w:cs="Times New Roman"/>
          <w:spacing w:val="2"/>
          <w:sz w:val="24"/>
          <w:szCs w:val="24"/>
          <w:lang w:val="lt-LT" w:eastAsia="lt-LT"/>
        </w:rPr>
        <w:t>registruot</w:t>
      </w:r>
      <w:r w:rsidRPr="00DD1E5E">
        <w:rPr>
          <w:rFonts w:ascii="Times New Roman" w:eastAsia="Times New Roman" w:hAnsi="Times New Roman" w:cs="Times New Roman"/>
          <w:spacing w:val="2"/>
          <w:sz w:val="24"/>
          <w:szCs w:val="24"/>
          <w:lang w:val="lt-LT" w:eastAsia="lt-LT"/>
        </w:rPr>
        <w:t>i</w:t>
      </w:r>
      <w:r w:rsidR="00B00BF7" w:rsidRPr="00DD1E5E">
        <w:rPr>
          <w:rFonts w:ascii="Times New Roman" w:eastAsia="Times New Roman" w:hAnsi="Times New Roman" w:cs="Times New Roman"/>
          <w:spacing w:val="2"/>
          <w:sz w:val="24"/>
          <w:szCs w:val="24"/>
          <w:lang w:val="lt-LT" w:eastAsia="lt-LT"/>
        </w:rPr>
        <w:t xml:space="preserve"> bedarbi</w:t>
      </w:r>
      <w:r w:rsidRPr="00DD1E5E">
        <w:rPr>
          <w:rFonts w:ascii="Times New Roman" w:eastAsia="Times New Roman" w:hAnsi="Times New Roman" w:cs="Times New Roman"/>
          <w:spacing w:val="2"/>
          <w:sz w:val="24"/>
          <w:szCs w:val="24"/>
          <w:lang w:val="lt-LT" w:eastAsia="lt-LT"/>
        </w:rPr>
        <w:t xml:space="preserve">ai, kurie </w:t>
      </w:r>
      <w:r w:rsidR="00B00BF7" w:rsidRPr="00DD1E5E">
        <w:rPr>
          <w:rFonts w:ascii="Times New Roman" w:eastAsia="Times New Roman" w:hAnsi="Times New Roman" w:cs="Times New Roman"/>
          <w:spacing w:val="2"/>
          <w:sz w:val="24"/>
          <w:szCs w:val="24"/>
          <w:lang w:val="lt-LT" w:eastAsia="lt-LT"/>
        </w:rPr>
        <w:t>vykdo Užimtumo tarnybos nurodymus.</w:t>
      </w:r>
      <w:r w:rsidRPr="00DD1E5E">
        <w:rPr>
          <w:rFonts w:ascii="Times New Roman" w:eastAsia="Times New Roman" w:hAnsi="Times New Roman" w:cs="Times New Roman"/>
          <w:spacing w:val="2"/>
          <w:sz w:val="24"/>
          <w:szCs w:val="24"/>
          <w:lang w:val="lt-LT" w:eastAsia="lt-LT"/>
        </w:rPr>
        <w:t xml:space="preserve"> Jeigu bedarbis atsisako Tžimtumo tarnybos pasiūlyto darbo, jis netenka bedarbio statuso ir kartu teisės į socialinę pašalpą. Taip pat yra net jei bedarbis atsisako dalyvauti mokymuose ar kitose aktyviose darbo rinkos priemonėse. Taigi, tas argumentas dėl nemotyvacijos dirbti yra niekinis. </w:t>
      </w:r>
    </w:p>
    <w:p w14:paraId="48B040CE" w14:textId="679A8924" w:rsidR="00475A7B" w:rsidRPr="00DD1E5E" w:rsidRDefault="00475A7B" w:rsidP="00475A7B">
      <w:pPr>
        <w:spacing w:after="0" w:line="276" w:lineRule="auto"/>
        <w:ind w:firstLine="720"/>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spacing w:val="2"/>
          <w:sz w:val="24"/>
          <w:szCs w:val="24"/>
          <w:lang w:val="lt-LT" w:eastAsia="lt-LT"/>
        </w:rPr>
        <w:t xml:space="preserve">Net jeigu ir pasitaiko socialinės pašalpos gavėjų, kurie apgaudinėja </w:t>
      </w:r>
      <w:r w:rsidR="007C07C1" w:rsidRPr="00DD1E5E">
        <w:rPr>
          <w:rFonts w:ascii="Times New Roman" w:eastAsia="Times New Roman" w:hAnsi="Times New Roman" w:cs="Times New Roman"/>
          <w:spacing w:val="2"/>
          <w:sz w:val="24"/>
          <w:szCs w:val="24"/>
          <w:lang w:val="lt-LT" w:eastAsia="lt-LT"/>
        </w:rPr>
        <w:t>savivaldybių</w:t>
      </w:r>
      <w:r w:rsidRPr="00DD1E5E">
        <w:rPr>
          <w:rFonts w:ascii="Times New Roman" w:eastAsia="Times New Roman" w:hAnsi="Times New Roman" w:cs="Times New Roman"/>
          <w:spacing w:val="2"/>
          <w:sz w:val="24"/>
          <w:szCs w:val="24"/>
          <w:lang w:val="lt-LT" w:eastAsia="lt-LT"/>
        </w:rPr>
        <w:t xml:space="preserve"> administracijas, kurios skiria pašalpą ar Užimtumo tarnybą</w:t>
      </w:r>
      <w:r w:rsidR="007C07C1" w:rsidRPr="00DD1E5E">
        <w:rPr>
          <w:rFonts w:ascii="Times New Roman" w:eastAsia="Times New Roman" w:hAnsi="Times New Roman" w:cs="Times New Roman"/>
          <w:spacing w:val="2"/>
          <w:sz w:val="24"/>
          <w:szCs w:val="24"/>
          <w:lang w:val="lt-LT" w:eastAsia="lt-LT"/>
        </w:rPr>
        <w:t xml:space="preserve">, kuri kontroliuoja registruotų bedarbių elgesį, negalima dėl pasitaikančių piktnaudžiavimų pateisinti sistemos neadekvatumą, dėl kurio kenčia sąžiningi skurstantieji, o ir visai visuomenei paliekami nesaugūs bei gėdingi skurdo ir atskirties židiniai. </w:t>
      </w:r>
    </w:p>
    <w:p w14:paraId="58C0D8C2" w14:textId="5B3ADFF4" w:rsidR="00B00BF7" w:rsidRPr="00DD1E5E" w:rsidRDefault="007C07C1" w:rsidP="00475A7B">
      <w:pPr>
        <w:spacing w:after="0" w:line="276" w:lineRule="auto"/>
        <w:ind w:firstLine="720"/>
        <w:jc w:val="both"/>
        <w:rPr>
          <w:rFonts w:ascii="Times New Roman" w:eastAsia="Times New Roman" w:hAnsi="Times New Roman" w:cs="Times New Roman"/>
          <w:spacing w:val="2"/>
          <w:sz w:val="24"/>
          <w:szCs w:val="24"/>
          <w:lang w:val="lt-LT" w:eastAsia="lt-LT"/>
        </w:rPr>
      </w:pPr>
      <w:r w:rsidRPr="00DD1E5E">
        <w:rPr>
          <w:rFonts w:ascii="Times New Roman" w:eastAsia="Times New Roman" w:hAnsi="Times New Roman" w:cs="Times New Roman"/>
          <w:spacing w:val="2"/>
          <w:sz w:val="24"/>
          <w:szCs w:val="24"/>
          <w:lang w:val="lt-LT" w:eastAsia="lt-LT"/>
        </w:rPr>
        <w:t xml:space="preserve">Paskutinis argumentas, kuris teikiamas teisinant neadekvačiai mažą paramą, jos lyginimas su darbo pajamomis, prie socialinės pašalpos priskaičiuojant daugelį kitų išmokų. Tačiau, kaip parodyta 1 pav., socialinės pašalpos dydį lemiančios Valstybės remiamos pajamos labai nupinga, lyginant su MMA. Pati MMA irgi yra maža, po mokesčių jos dydis nesiekia skurdo rizikos ribos vienam asmeniui. </w:t>
      </w:r>
    </w:p>
    <w:p w14:paraId="3F65CB85" w14:textId="77777777" w:rsidR="002B1F05" w:rsidRPr="00DD1E5E" w:rsidRDefault="002B1F05" w:rsidP="00417BC9">
      <w:pPr>
        <w:spacing w:after="0" w:line="276" w:lineRule="auto"/>
        <w:contextualSpacing/>
        <w:jc w:val="both"/>
        <w:rPr>
          <w:rFonts w:ascii="Times New Roman" w:eastAsiaTheme="minorEastAsia" w:hAnsi="Times New Roman" w:cs="Times New Roman"/>
          <w:i/>
          <w:color w:val="000000" w:themeColor="text1"/>
          <w:sz w:val="24"/>
          <w:szCs w:val="24"/>
          <w:lang w:val="lt-LT"/>
        </w:rPr>
      </w:pPr>
    </w:p>
    <w:p w14:paraId="70633105" w14:textId="77777777" w:rsidR="007D2D79" w:rsidRPr="00DD1E5E" w:rsidRDefault="007D2D79" w:rsidP="007D2D79">
      <w:pPr>
        <w:spacing w:after="0" w:line="240" w:lineRule="auto"/>
        <w:ind w:firstLine="720"/>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 xml:space="preserve">ES šalių kontekste socialinė pašalpa vienišam asmeniui Lietuvoje labai  maža – 2019 m. siekė tik 18 proc. vieno asmens namų ūkio pajamų medianos (4 pav.). Tuo tarpu skurdo rizikos riba tarptautiniu mastu laikoma 50 proc. (EBPO) arba 60 proc. (ES). EBPO šalių vidurkis - 34 proc. Daugumoje vakarinių ES narių yra virš 40 proc. (5 pav.). </w:t>
      </w:r>
    </w:p>
    <w:p w14:paraId="7FD8B15B" w14:textId="46A12D8D" w:rsidR="007D2D79" w:rsidRPr="00DD1E5E" w:rsidRDefault="007D2D79" w:rsidP="00106915">
      <w:pPr>
        <w:spacing w:after="0" w:line="240" w:lineRule="auto"/>
        <w:rPr>
          <w:rFonts w:ascii="Times New Roman" w:eastAsiaTheme="minorEastAsia" w:hAnsi="Times New Roman" w:cs="Times New Roman"/>
          <w:b/>
          <w:i/>
          <w:sz w:val="24"/>
          <w:szCs w:val="24"/>
          <w:lang w:val="lt-LT"/>
        </w:rPr>
      </w:pPr>
    </w:p>
    <w:p w14:paraId="114F0203"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4F8DE420"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6617557E"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3B6CD7F0"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2855AAD4"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550997DD"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53AD9539" w14:textId="77777777" w:rsidR="00DD1E5E" w:rsidRDefault="00DD1E5E" w:rsidP="00106915">
      <w:pPr>
        <w:spacing w:after="0" w:line="240" w:lineRule="auto"/>
        <w:rPr>
          <w:rFonts w:ascii="Times New Roman" w:eastAsia="Times New Roman" w:hAnsi="Times New Roman" w:cs="Times New Roman"/>
          <w:b/>
          <w:bCs/>
          <w:color w:val="000000"/>
          <w:sz w:val="24"/>
          <w:szCs w:val="24"/>
          <w:lang w:val="lt-LT" w:eastAsia="lt-LT"/>
        </w:rPr>
      </w:pPr>
    </w:p>
    <w:p w14:paraId="305D51F7" w14:textId="6C13EE65" w:rsidR="00E94A5A" w:rsidRPr="00DD1E5E" w:rsidRDefault="00E94A5A" w:rsidP="00106915">
      <w:pPr>
        <w:spacing w:after="0" w:line="240" w:lineRule="auto"/>
        <w:rPr>
          <w:rFonts w:ascii="Times New Roman" w:eastAsiaTheme="minorEastAsia" w:hAnsi="Times New Roman" w:cs="Times New Roman"/>
          <w:b/>
          <w:i/>
          <w:sz w:val="24"/>
          <w:szCs w:val="24"/>
          <w:lang w:val="lt-LT"/>
        </w:rPr>
      </w:pPr>
      <w:r w:rsidRPr="00DD1E5E">
        <w:rPr>
          <w:rFonts w:ascii="Times New Roman" w:eastAsia="Times New Roman" w:hAnsi="Times New Roman" w:cs="Times New Roman"/>
          <w:b/>
          <w:bCs/>
          <w:color w:val="000000"/>
          <w:sz w:val="24"/>
          <w:szCs w:val="24"/>
          <w:lang w:val="lt-LT" w:eastAsia="lt-LT"/>
        </w:rPr>
        <w:lastRenderedPageBreak/>
        <w:t>Būsto šildymo išlaidų, išlaidų geriamajam vandeniui bei išlaidų karštam vandeniui kompensacijos</w:t>
      </w:r>
    </w:p>
    <w:p w14:paraId="12DB81D1" w14:textId="77777777" w:rsidR="00F15015" w:rsidRPr="00DD1E5E" w:rsidRDefault="00F15015" w:rsidP="00F15015">
      <w:pPr>
        <w:spacing w:after="0" w:line="240" w:lineRule="auto"/>
        <w:rPr>
          <w:rFonts w:ascii="Times New Roman" w:hAnsi="Times New Roman" w:cs="Times New Roman"/>
          <w:sz w:val="24"/>
          <w:szCs w:val="24"/>
          <w:lang w:val="lt-LT"/>
        </w:rPr>
      </w:pPr>
    </w:p>
    <w:p w14:paraId="0A0FF8A6" w14:textId="090BFA24" w:rsidR="00F15015" w:rsidRPr="00DD1E5E" w:rsidRDefault="00F15015" w:rsidP="00EA774C">
      <w:pPr>
        <w:spacing w:after="0" w:line="240" w:lineRule="auto"/>
        <w:jc w:val="both"/>
        <w:rPr>
          <w:rFonts w:ascii="Times New Roman" w:hAnsi="Times New Roman" w:cs="Times New Roman"/>
          <w:b/>
          <w:sz w:val="24"/>
          <w:szCs w:val="24"/>
          <w:lang w:val="lt-LT"/>
        </w:rPr>
      </w:pPr>
      <w:r w:rsidRPr="00DD1E5E">
        <w:rPr>
          <w:rFonts w:ascii="Times New Roman" w:hAnsi="Times New Roman" w:cs="Times New Roman"/>
          <w:b/>
          <w:sz w:val="24"/>
          <w:szCs w:val="24"/>
          <w:lang w:val="lt-LT"/>
        </w:rPr>
        <w:t>Bendrai gyvenantiems asmenims ar</w:t>
      </w:r>
      <w:r w:rsidR="00EA774C" w:rsidRPr="00DD1E5E">
        <w:rPr>
          <w:rFonts w:ascii="Times New Roman" w:hAnsi="Times New Roman" w:cs="Times New Roman"/>
          <w:b/>
          <w:sz w:val="24"/>
          <w:szCs w:val="24"/>
          <w:lang w:val="lt-LT"/>
        </w:rPr>
        <w:t xml:space="preserve">ba vienam gyvenančiam asmeniui </w:t>
      </w:r>
      <w:r w:rsidRPr="00DD1E5E">
        <w:rPr>
          <w:rFonts w:ascii="Times New Roman" w:hAnsi="Times New Roman" w:cs="Times New Roman"/>
          <w:b/>
          <w:sz w:val="24"/>
          <w:szCs w:val="24"/>
          <w:lang w:val="lt-LT"/>
        </w:rPr>
        <w:t>kompensacijos skiriamos, jeigu:</w:t>
      </w:r>
    </w:p>
    <w:p w14:paraId="21C2B8B5" w14:textId="77777777" w:rsidR="00F15015" w:rsidRPr="00DD1E5E" w:rsidRDefault="00F15015" w:rsidP="00EA774C">
      <w:pPr>
        <w:spacing w:after="0" w:line="240" w:lineRule="auto"/>
        <w:jc w:val="both"/>
        <w:rPr>
          <w:rFonts w:ascii="Times New Roman" w:hAnsi="Times New Roman" w:cs="Times New Roman"/>
          <w:sz w:val="24"/>
          <w:szCs w:val="24"/>
          <w:lang w:val="lt-LT"/>
        </w:rPr>
      </w:pPr>
    </w:p>
    <w:p w14:paraId="4634C305" w14:textId="01E2273D" w:rsidR="00F15015" w:rsidRPr="00DD1E5E" w:rsidRDefault="00EA774C" w:rsidP="00DA0B8A">
      <w:pPr>
        <w:spacing w:after="0" w:line="240" w:lineRule="auto"/>
        <w:ind w:left="426" w:hanging="284"/>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1)</w:t>
      </w:r>
      <w:r w:rsidR="00F15015" w:rsidRPr="00DD1E5E">
        <w:rPr>
          <w:rFonts w:ascii="Times New Roman" w:hAnsi="Times New Roman" w:cs="Times New Roman"/>
          <w:sz w:val="24"/>
          <w:szCs w:val="24"/>
          <w:lang w:val="lt-LT"/>
        </w:rPr>
        <w:t xml:space="preserve"> būsto šildymo išlaidos, kai būsto naudingasis plotas bei atskirų energijos ir kuro rūšių sąnaudos būstui šildyti ne didesni už nustatytus normatyvus, viršija 10 procentų skirtumo tarp bendrai gyvenančių asmenų arba vieno gyvenančio asmens vidutinių pajamų per mėnesį ir 1 VRP (128 Eur) bendrai gyvenantiems asmenims dydžio arba 1,5 VRP (192 Eur) dydžio vienam gyvenančiam asmeniui;</w:t>
      </w:r>
    </w:p>
    <w:p w14:paraId="03F2E173" w14:textId="0876BC58" w:rsidR="00F15015" w:rsidRPr="00DD1E5E" w:rsidRDefault="00EA774C" w:rsidP="00DA0B8A">
      <w:pPr>
        <w:spacing w:after="0" w:line="240" w:lineRule="auto"/>
        <w:ind w:left="426" w:hanging="284"/>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2)</w:t>
      </w:r>
      <w:r w:rsidR="00F15015" w:rsidRPr="00DD1E5E">
        <w:rPr>
          <w:rFonts w:ascii="Times New Roman" w:hAnsi="Times New Roman" w:cs="Times New Roman"/>
          <w:sz w:val="24"/>
          <w:szCs w:val="24"/>
          <w:lang w:val="lt-LT"/>
        </w:rPr>
        <w:t xml:space="preserve"> geriamojo vandens, kurio kiekis ne didesnis už nustatytą normatyvą, išlaidos viršija 2 procentus bendrai gyvenančių asmenų / asmens pajamų;</w:t>
      </w:r>
    </w:p>
    <w:p w14:paraId="17BFB459" w14:textId="49B0AFCE" w:rsidR="00F15015" w:rsidRPr="00DD1E5E" w:rsidRDefault="00F15015" w:rsidP="00DA0B8A">
      <w:pPr>
        <w:spacing w:after="0" w:line="240" w:lineRule="auto"/>
        <w:ind w:left="426" w:hanging="284"/>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3</w:t>
      </w:r>
      <w:r w:rsidR="00EA774C" w:rsidRPr="00DD1E5E">
        <w:rPr>
          <w:rFonts w:ascii="Times New Roman" w:hAnsi="Times New Roman" w:cs="Times New Roman"/>
          <w:sz w:val="24"/>
          <w:szCs w:val="24"/>
          <w:lang w:val="lt-LT"/>
        </w:rPr>
        <w:t>)</w:t>
      </w:r>
      <w:r w:rsidRPr="00DD1E5E">
        <w:rPr>
          <w:rFonts w:ascii="Times New Roman" w:hAnsi="Times New Roman" w:cs="Times New Roman"/>
          <w:sz w:val="24"/>
          <w:szCs w:val="24"/>
          <w:lang w:val="lt-LT"/>
        </w:rPr>
        <w:t xml:space="preserve"> karšto vandens, kurio kiekis bei atskirų energijos ar kuro rūšių sąnaudos karštam vandeniui ne didesni už nustatytus normatyvus, išlaidos viršija 5 procentus bendrai gyvenančių asmenų / asmens pajamų.</w:t>
      </w:r>
    </w:p>
    <w:p w14:paraId="7334546D" w14:textId="77777777" w:rsidR="00DD1E5E" w:rsidRDefault="00DD1E5E" w:rsidP="00EA774C">
      <w:pPr>
        <w:spacing w:after="0" w:line="240" w:lineRule="auto"/>
        <w:jc w:val="both"/>
        <w:rPr>
          <w:rFonts w:ascii="Times New Roman" w:hAnsi="Times New Roman" w:cs="Times New Roman"/>
          <w:b/>
          <w:sz w:val="24"/>
          <w:szCs w:val="24"/>
          <w:lang w:val="lt-LT"/>
        </w:rPr>
      </w:pPr>
    </w:p>
    <w:p w14:paraId="4CB2751A" w14:textId="3CBE7FA9" w:rsidR="00F15015" w:rsidRPr="00DD1E5E" w:rsidRDefault="00F15015" w:rsidP="00EA774C">
      <w:pPr>
        <w:spacing w:after="0" w:line="240" w:lineRule="auto"/>
        <w:jc w:val="both"/>
        <w:rPr>
          <w:rFonts w:ascii="Times New Roman" w:hAnsi="Times New Roman" w:cs="Times New Roman"/>
          <w:b/>
          <w:sz w:val="24"/>
          <w:szCs w:val="24"/>
          <w:lang w:val="lt-LT"/>
        </w:rPr>
      </w:pPr>
      <w:r w:rsidRPr="00DD1E5E">
        <w:rPr>
          <w:rFonts w:ascii="Times New Roman" w:hAnsi="Times New Roman" w:cs="Times New Roman"/>
          <w:b/>
          <w:sz w:val="24"/>
          <w:szCs w:val="24"/>
          <w:lang w:val="lt-LT"/>
        </w:rPr>
        <w:t>K</w:t>
      </w:r>
      <w:r w:rsidR="00EA774C" w:rsidRPr="00DD1E5E">
        <w:rPr>
          <w:rFonts w:ascii="Times New Roman" w:hAnsi="Times New Roman" w:cs="Times New Roman"/>
          <w:b/>
          <w:sz w:val="24"/>
          <w:szCs w:val="24"/>
          <w:lang w:val="lt-LT"/>
        </w:rPr>
        <w:t>ompensacijų dydis</w:t>
      </w:r>
    </w:p>
    <w:p w14:paraId="754336C4" w14:textId="77777777" w:rsidR="00F15015" w:rsidRPr="00DD1E5E" w:rsidRDefault="00F15015" w:rsidP="00EA774C">
      <w:pPr>
        <w:spacing w:after="0" w:line="240" w:lineRule="auto"/>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Bendrai gyvenantiems asmenims / asmeniui kompensuojama:</w:t>
      </w:r>
    </w:p>
    <w:p w14:paraId="2E98F29E" w14:textId="4E45CA81" w:rsidR="00F15015" w:rsidRPr="00DD1E5E" w:rsidRDefault="00F15015" w:rsidP="00DA0B8A">
      <w:pPr>
        <w:pStyle w:val="Sraopastraipa"/>
        <w:numPr>
          <w:ilvl w:val="0"/>
          <w:numId w:val="15"/>
        </w:numPr>
        <w:tabs>
          <w:tab w:val="left" w:pos="851"/>
        </w:tabs>
        <w:spacing w:after="0" w:line="240" w:lineRule="auto"/>
        <w:ind w:left="567" w:hanging="425"/>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išlaidų už būsto naudingojo ploto, bet ne didesnio už nustatytą normatyvą, šildymą, atsižvelgiant į energijos ar kuro sąnaudas, bet ne didesnes už normatyvą, dalis, viršijanti 10 procentų skirtumo tarp bendrai gyvenančių asmenų arba vieno gyvenančio asmens vidutinių pajamų per mėnesį ir 1 VRP (128 Eur) bendrai gyvenantiems asmenims dydžio arba 1,5 VRP dydžio (192 Eur) vienam gyvenančiam asmeniui;</w:t>
      </w:r>
    </w:p>
    <w:p w14:paraId="70089B25" w14:textId="197DEB6B" w:rsidR="00F15015" w:rsidRPr="00DD1E5E" w:rsidRDefault="00F15015" w:rsidP="00DA0B8A">
      <w:pPr>
        <w:pStyle w:val="Sraopastraipa"/>
        <w:numPr>
          <w:ilvl w:val="0"/>
          <w:numId w:val="15"/>
        </w:numPr>
        <w:tabs>
          <w:tab w:val="left" w:pos="851"/>
        </w:tabs>
        <w:spacing w:after="0" w:line="240" w:lineRule="auto"/>
        <w:ind w:left="567" w:hanging="425"/>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išlaidų už geriamojo vandens kiekį, bet ne didesnį už normatyvą, dalis, viršijanti 2 procentus bendrai gyvenančių asmenų arba vieno gyvenančio asmens pajamų;</w:t>
      </w:r>
    </w:p>
    <w:p w14:paraId="1534BB54" w14:textId="25B94692" w:rsidR="00F15015" w:rsidRPr="00DD1E5E" w:rsidRDefault="00F15015" w:rsidP="00DA0B8A">
      <w:pPr>
        <w:pStyle w:val="Sraopastraipa"/>
        <w:numPr>
          <w:ilvl w:val="0"/>
          <w:numId w:val="15"/>
        </w:numPr>
        <w:tabs>
          <w:tab w:val="left" w:pos="851"/>
        </w:tabs>
        <w:spacing w:after="0" w:line="240" w:lineRule="auto"/>
        <w:ind w:left="567" w:hanging="425"/>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išlaidų už karštą vandenį, kurio kiekis bei atskirų energijos ar kuro rūšių sąnaudos karštam vandeniui ne didesni už normatyvus, dalis, viršijanti 5 procentus bendrai gyvenančių asmenų arba vieno gyvenančio asmens pajamų.</w:t>
      </w:r>
    </w:p>
    <w:p w14:paraId="4FD505E3" w14:textId="27E99FC0" w:rsidR="00E4326D" w:rsidRPr="00DD1E5E" w:rsidRDefault="00E4326D" w:rsidP="00E4326D">
      <w:pPr>
        <w:tabs>
          <w:tab w:val="left" w:pos="851"/>
        </w:tabs>
        <w:spacing w:after="0" w:line="240" w:lineRule="auto"/>
        <w:jc w:val="both"/>
        <w:rPr>
          <w:rFonts w:ascii="Times New Roman" w:hAnsi="Times New Roman" w:cs="Times New Roman"/>
          <w:sz w:val="24"/>
          <w:szCs w:val="24"/>
          <w:lang w:val="lt-LT"/>
        </w:rPr>
      </w:pPr>
    </w:p>
    <w:p w14:paraId="7AA156A6" w14:textId="410A371B" w:rsidR="00E4326D" w:rsidRPr="00DD1E5E" w:rsidRDefault="00E4326D" w:rsidP="00E4326D">
      <w:pPr>
        <w:tabs>
          <w:tab w:val="left" w:pos="851"/>
        </w:tabs>
        <w:spacing w:after="0" w:line="240" w:lineRule="auto"/>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Teisei gauti kompensacijas irgi svarbus Valstybės remiamų pajamų dydis. Jo beveik nedidinant, pastaraisiais metai sumažėjo ir kompensacijas gaunančiųjų skaičius</w:t>
      </w:r>
      <w:r w:rsidR="00DA0B8A" w:rsidRPr="00DD1E5E">
        <w:rPr>
          <w:rFonts w:ascii="Times New Roman" w:hAnsi="Times New Roman" w:cs="Times New Roman"/>
          <w:sz w:val="24"/>
          <w:szCs w:val="24"/>
          <w:lang w:val="lt-LT"/>
        </w:rPr>
        <w:t>, ir išlaidos kompensacijoms</w:t>
      </w:r>
      <w:r w:rsidRPr="00DD1E5E">
        <w:rPr>
          <w:rFonts w:ascii="Times New Roman" w:hAnsi="Times New Roman" w:cs="Times New Roman"/>
          <w:sz w:val="24"/>
          <w:szCs w:val="24"/>
          <w:lang w:val="lt-LT"/>
        </w:rPr>
        <w:t xml:space="preserve"> (</w:t>
      </w:r>
      <w:r w:rsidR="00DA0B8A" w:rsidRPr="00DD1E5E">
        <w:rPr>
          <w:rFonts w:ascii="Times New Roman" w:hAnsi="Times New Roman" w:cs="Times New Roman"/>
          <w:sz w:val="24"/>
          <w:szCs w:val="24"/>
          <w:lang w:val="lt-LT"/>
        </w:rPr>
        <w:t>1</w:t>
      </w:r>
      <w:r w:rsidRPr="00DD1E5E">
        <w:rPr>
          <w:rFonts w:ascii="Times New Roman" w:hAnsi="Times New Roman" w:cs="Times New Roman"/>
          <w:sz w:val="24"/>
          <w:szCs w:val="24"/>
          <w:lang w:val="lt-LT"/>
        </w:rPr>
        <w:t xml:space="preserve"> lentelė). </w:t>
      </w:r>
    </w:p>
    <w:p w14:paraId="0CAD3F69" w14:textId="52A0B735" w:rsidR="00E4326D" w:rsidRPr="00DD1E5E" w:rsidRDefault="00E4326D" w:rsidP="00E4326D">
      <w:pPr>
        <w:tabs>
          <w:tab w:val="left" w:pos="851"/>
        </w:tabs>
        <w:spacing w:after="0" w:line="240" w:lineRule="auto"/>
        <w:jc w:val="both"/>
        <w:rPr>
          <w:rFonts w:ascii="Times New Roman" w:hAnsi="Times New Roman" w:cs="Times New Roman"/>
          <w:sz w:val="24"/>
          <w:szCs w:val="24"/>
          <w:lang w:val="lt-LT"/>
        </w:rPr>
      </w:pPr>
      <w:r w:rsidRPr="00DD1E5E">
        <w:rPr>
          <w:rFonts w:ascii="Times New Roman" w:hAnsi="Times New Roman" w:cs="Times New Roman"/>
          <w:sz w:val="24"/>
          <w:szCs w:val="24"/>
          <w:lang w:val="lt-LT"/>
        </w:rPr>
        <w:t xml:space="preserve">  </w:t>
      </w:r>
    </w:p>
    <w:p w14:paraId="56348544" w14:textId="4542815A" w:rsidR="0087200B" w:rsidRDefault="00E4326D" w:rsidP="00E4326D">
      <w:pPr>
        <w:spacing w:after="0" w:line="240" w:lineRule="auto"/>
        <w:jc w:val="center"/>
        <w:rPr>
          <w:rFonts w:ascii="Times New Roman" w:hAnsi="Times New Roman" w:cs="Times New Roman"/>
          <w:sz w:val="24"/>
          <w:szCs w:val="24"/>
          <w:lang w:val="lt-LT"/>
        </w:rPr>
      </w:pPr>
      <w:r w:rsidRPr="00DD1E5E">
        <w:rPr>
          <w:rFonts w:ascii="Times New Roman" w:hAnsi="Times New Roman" w:cs="Times New Roman"/>
          <w:sz w:val="24"/>
          <w:szCs w:val="24"/>
          <w:lang w:val="lt-LT"/>
        </w:rPr>
        <w:t>1 lentelė. Kompensacijų gavėjų skaičius ir išlaidos joms</w:t>
      </w:r>
    </w:p>
    <w:p w14:paraId="236924C7" w14:textId="77777777" w:rsidR="00DD1E5E" w:rsidRPr="00DD1E5E" w:rsidRDefault="00DD1E5E" w:rsidP="00E4326D">
      <w:pPr>
        <w:spacing w:after="0" w:line="240" w:lineRule="auto"/>
        <w:jc w:val="center"/>
        <w:rPr>
          <w:rFonts w:ascii="Times New Roman" w:hAnsi="Times New Roman" w:cs="Times New Roman"/>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040"/>
        <w:gridCol w:w="1039"/>
        <w:gridCol w:w="2301"/>
        <w:gridCol w:w="2126"/>
        <w:gridCol w:w="1276"/>
        <w:gridCol w:w="1134"/>
      </w:tblGrid>
      <w:tr w:rsidR="00042A6D" w:rsidRPr="00DD1E5E" w14:paraId="2D053A53" w14:textId="77777777" w:rsidTr="00042A6D">
        <w:trPr>
          <w:trHeight w:val="760"/>
        </w:trPr>
        <w:tc>
          <w:tcPr>
            <w:tcW w:w="860" w:type="dxa"/>
            <w:shd w:val="clear" w:color="auto" w:fill="auto"/>
            <w:noWrap/>
            <w:vAlign w:val="bottom"/>
            <w:hideMark/>
          </w:tcPr>
          <w:p w14:paraId="6D8F7644" w14:textId="77777777" w:rsidR="00042A6D" w:rsidRPr="00DD1E5E" w:rsidRDefault="00042A6D" w:rsidP="00042A6D">
            <w:pPr>
              <w:spacing w:after="0" w:line="240" w:lineRule="auto"/>
              <w:rPr>
                <w:rFonts w:ascii="Times New Roman" w:eastAsia="Times New Roman" w:hAnsi="Times New Roman" w:cs="Times New Roman"/>
                <w:sz w:val="24"/>
                <w:szCs w:val="24"/>
                <w:lang w:val="lt-LT" w:eastAsia="lt-LT"/>
              </w:rPr>
            </w:pPr>
          </w:p>
        </w:tc>
        <w:tc>
          <w:tcPr>
            <w:tcW w:w="1040" w:type="dxa"/>
            <w:shd w:val="clear" w:color="auto" w:fill="auto"/>
            <w:vAlign w:val="bottom"/>
            <w:hideMark/>
          </w:tcPr>
          <w:p w14:paraId="33B90C36" w14:textId="77777777" w:rsidR="00042A6D" w:rsidRPr="00DD1E5E" w:rsidRDefault="00042A6D" w:rsidP="00042A6D">
            <w:pPr>
              <w:spacing w:after="0" w:line="240" w:lineRule="auto"/>
              <w:rPr>
                <w:rFonts w:ascii="Times New Roman" w:eastAsia="Times New Roman" w:hAnsi="Times New Roman" w:cs="Times New Roman"/>
                <w:sz w:val="24"/>
                <w:szCs w:val="24"/>
                <w:lang w:val="lt-LT" w:eastAsia="lt-LT"/>
              </w:rPr>
            </w:pPr>
          </w:p>
        </w:tc>
        <w:tc>
          <w:tcPr>
            <w:tcW w:w="1039" w:type="dxa"/>
            <w:shd w:val="clear" w:color="auto" w:fill="auto"/>
            <w:vAlign w:val="bottom"/>
            <w:hideMark/>
          </w:tcPr>
          <w:p w14:paraId="5D1630AF" w14:textId="77777777" w:rsidR="00042A6D" w:rsidRPr="00DD1E5E" w:rsidRDefault="00042A6D" w:rsidP="00042A6D">
            <w:pPr>
              <w:spacing w:after="0" w:line="240" w:lineRule="auto"/>
              <w:rPr>
                <w:rFonts w:ascii="Times New Roman" w:eastAsia="Times New Roman" w:hAnsi="Times New Roman" w:cs="Times New Roman"/>
                <w:sz w:val="24"/>
                <w:szCs w:val="24"/>
                <w:lang w:val="lt-LT" w:eastAsia="lt-LT"/>
              </w:rPr>
            </w:pPr>
          </w:p>
        </w:tc>
        <w:tc>
          <w:tcPr>
            <w:tcW w:w="2301" w:type="dxa"/>
            <w:shd w:val="clear" w:color="auto" w:fill="auto"/>
            <w:vAlign w:val="bottom"/>
            <w:hideMark/>
          </w:tcPr>
          <w:p w14:paraId="375684D6" w14:textId="5983E032"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Už išlaidas būstui šildyti (</w:t>
            </w:r>
            <w:r w:rsidR="00E4326D" w:rsidRPr="00DD1E5E">
              <w:rPr>
                <w:rFonts w:ascii="Times New Roman" w:eastAsia="Times New Roman" w:hAnsi="Times New Roman" w:cs="Times New Roman"/>
                <w:color w:val="000000"/>
                <w:sz w:val="24"/>
                <w:szCs w:val="24"/>
                <w:lang w:val="lt-LT" w:eastAsia="lt-LT"/>
              </w:rPr>
              <w:t>šilumą tiekiant centralizuotai)</w:t>
            </w:r>
          </w:p>
        </w:tc>
        <w:tc>
          <w:tcPr>
            <w:tcW w:w="2126" w:type="dxa"/>
            <w:shd w:val="clear" w:color="auto" w:fill="auto"/>
            <w:vAlign w:val="bottom"/>
            <w:hideMark/>
          </w:tcPr>
          <w:p w14:paraId="0D32E8BA" w14:textId="3ACA16EE"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Už išlaidas būstui šildyti</w:t>
            </w:r>
            <w:r w:rsidR="00E4326D" w:rsidRPr="00DD1E5E">
              <w:rPr>
                <w:rFonts w:ascii="Times New Roman" w:eastAsia="Times New Roman" w:hAnsi="Times New Roman" w:cs="Times New Roman"/>
                <w:color w:val="000000"/>
                <w:sz w:val="24"/>
                <w:szCs w:val="24"/>
                <w:lang w:val="lt-LT" w:eastAsia="lt-LT"/>
              </w:rPr>
              <w:t xml:space="preserve"> (kt.energijos ir kuro rūšimis)</w:t>
            </w:r>
          </w:p>
        </w:tc>
        <w:tc>
          <w:tcPr>
            <w:tcW w:w="1276" w:type="dxa"/>
            <w:shd w:val="clear" w:color="auto" w:fill="auto"/>
            <w:vAlign w:val="bottom"/>
            <w:hideMark/>
          </w:tcPr>
          <w:p w14:paraId="7516D905" w14:textId="77777777"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geriamojo vandens išlaidų</w:t>
            </w:r>
          </w:p>
        </w:tc>
        <w:tc>
          <w:tcPr>
            <w:tcW w:w="1134" w:type="dxa"/>
            <w:shd w:val="clear" w:color="auto" w:fill="auto"/>
            <w:vAlign w:val="bottom"/>
            <w:hideMark/>
          </w:tcPr>
          <w:p w14:paraId="08909087" w14:textId="77777777"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karšto vandens išlaidų</w:t>
            </w:r>
          </w:p>
        </w:tc>
      </w:tr>
      <w:tr w:rsidR="00DA0B8A" w:rsidRPr="00DD1E5E" w14:paraId="2E020964" w14:textId="77777777" w:rsidTr="00DA0B8A">
        <w:trPr>
          <w:trHeight w:val="290"/>
        </w:trPr>
        <w:tc>
          <w:tcPr>
            <w:tcW w:w="860" w:type="dxa"/>
            <w:shd w:val="clear" w:color="auto" w:fill="FBE4D5" w:themeFill="accent2" w:themeFillTint="33"/>
            <w:noWrap/>
            <w:vAlign w:val="bottom"/>
            <w:hideMark/>
          </w:tcPr>
          <w:p w14:paraId="3C9B4D3B" w14:textId="7777777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2015 m.</w:t>
            </w:r>
          </w:p>
        </w:tc>
        <w:tc>
          <w:tcPr>
            <w:tcW w:w="1040" w:type="dxa"/>
            <w:shd w:val="clear" w:color="auto" w:fill="FBE4D5" w:themeFill="accent2" w:themeFillTint="33"/>
            <w:noWrap/>
            <w:vAlign w:val="bottom"/>
            <w:hideMark/>
          </w:tcPr>
          <w:p w14:paraId="2CEEAA6D" w14:textId="68771CA5"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5B0CD0D7" w14:textId="68E1DEA4"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mln.eurų</w:t>
            </w:r>
          </w:p>
        </w:tc>
        <w:tc>
          <w:tcPr>
            <w:tcW w:w="2301" w:type="dxa"/>
            <w:shd w:val="clear" w:color="auto" w:fill="FBE4D5" w:themeFill="accent2" w:themeFillTint="33"/>
            <w:noWrap/>
            <w:vAlign w:val="bottom"/>
            <w:hideMark/>
          </w:tcPr>
          <w:p w14:paraId="15B4BF9E"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11,87</w:t>
            </w:r>
          </w:p>
        </w:tc>
        <w:tc>
          <w:tcPr>
            <w:tcW w:w="2126" w:type="dxa"/>
            <w:shd w:val="clear" w:color="auto" w:fill="FBE4D5" w:themeFill="accent2" w:themeFillTint="33"/>
            <w:noWrap/>
            <w:vAlign w:val="bottom"/>
            <w:hideMark/>
          </w:tcPr>
          <w:p w14:paraId="5227DF5F"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4,94</w:t>
            </w:r>
          </w:p>
        </w:tc>
        <w:tc>
          <w:tcPr>
            <w:tcW w:w="1276" w:type="dxa"/>
            <w:shd w:val="clear" w:color="auto" w:fill="FBE4D5" w:themeFill="accent2" w:themeFillTint="33"/>
            <w:noWrap/>
            <w:vAlign w:val="bottom"/>
            <w:hideMark/>
          </w:tcPr>
          <w:p w14:paraId="5EB12A95"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0,7</w:t>
            </w:r>
          </w:p>
        </w:tc>
        <w:tc>
          <w:tcPr>
            <w:tcW w:w="1134" w:type="dxa"/>
            <w:shd w:val="clear" w:color="auto" w:fill="FBE4D5" w:themeFill="accent2" w:themeFillTint="33"/>
            <w:noWrap/>
            <w:vAlign w:val="bottom"/>
            <w:hideMark/>
          </w:tcPr>
          <w:p w14:paraId="4DBB859F"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3,42</w:t>
            </w:r>
          </w:p>
        </w:tc>
      </w:tr>
      <w:tr w:rsidR="00DA0B8A" w:rsidRPr="00DD1E5E" w14:paraId="69E9162A" w14:textId="77777777" w:rsidTr="00DA0B8A">
        <w:trPr>
          <w:trHeight w:val="290"/>
        </w:trPr>
        <w:tc>
          <w:tcPr>
            <w:tcW w:w="860" w:type="dxa"/>
            <w:shd w:val="clear" w:color="auto" w:fill="auto"/>
            <w:noWrap/>
            <w:vAlign w:val="bottom"/>
            <w:hideMark/>
          </w:tcPr>
          <w:p w14:paraId="1F2F18FF"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6CDEB60A" w14:textId="05765DFE"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36FAA1CF" w14:textId="15DC6B26"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481E458F"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98,26</w:t>
            </w:r>
          </w:p>
        </w:tc>
        <w:tc>
          <w:tcPr>
            <w:tcW w:w="2126" w:type="dxa"/>
            <w:shd w:val="clear" w:color="auto" w:fill="auto"/>
            <w:noWrap/>
            <w:vAlign w:val="bottom"/>
            <w:hideMark/>
          </w:tcPr>
          <w:p w14:paraId="4C5F641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16,56</w:t>
            </w:r>
          </w:p>
        </w:tc>
        <w:tc>
          <w:tcPr>
            <w:tcW w:w="1276" w:type="dxa"/>
            <w:shd w:val="clear" w:color="auto" w:fill="auto"/>
            <w:noWrap/>
            <w:vAlign w:val="bottom"/>
            <w:hideMark/>
          </w:tcPr>
          <w:p w14:paraId="02901B8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39,3</w:t>
            </w:r>
          </w:p>
        </w:tc>
        <w:tc>
          <w:tcPr>
            <w:tcW w:w="1134" w:type="dxa"/>
            <w:shd w:val="clear" w:color="auto" w:fill="auto"/>
            <w:noWrap/>
            <w:vAlign w:val="bottom"/>
            <w:hideMark/>
          </w:tcPr>
          <w:p w14:paraId="6D7CDAF7"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61,88</w:t>
            </w:r>
          </w:p>
        </w:tc>
      </w:tr>
      <w:tr w:rsidR="00042A6D" w:rsidRPr="00DD1E5E" w14:paraId="30DEF437" w14:textId="77777777" w:rsidTr="00DA0B8A">
        <w:trPr>
          <w:trHeight w:val="290"/>
        </w:trPr>
        <w:tc>
          <w:tcPr>
            <w:tcW w:w="860" w:type="dxa"/>
            <w:shd w:val="clear" w:color="auto" w:fill="FBE4D5" w:themeFill="accent2" w:themeFillTint="33"/>
            <w:noWrap/>
            <w:vAlign w:val="bottom"/>
            <w:hideMark/>
          </w:tcPr>
          <w:p w14:paraId="2E043156" w14:textId="77777777"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2016 m.</w:t>
            </w:r>
          </w:p>
        </w:tc>
        <w:tc>
          <w:tcPr>
            <w:tcW w:w="1040" w:type="dxa"/>
            <w:shd w:val="clear" w:color="auto" w:fill="FBE4D5" w:themeFill="accent2" w:themeFillTint="33"/>
            <w:noWrap/>
            <w:vAlign w:val="bottom"/>
            <w:hideMark/>
          </w:tcPr>
          <w:p w14:paraId="71E56F2E" w14:textId="3F8C8B7C" w:rsidR="00042A6D" w:rsidRPr="00DD1E5E" w:rsidRDefault="00DA0B8A"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09E727BB" w14:textId="77777777" w:rsidR="00042A6D" w:rsidRPr="00DD1E5E" w:rsidRDefault="00042A6D" w:rsidP="00042A6D">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FBE4D5" w:themeFill="accent2" w:themeFillTint="33"/>
            <w:noWrap/>
            <w:vAlign w:val="bottom"/>
            <w:hideMark/>
          </w:tcPr>
          <w:p w14:paraId="03EBF9B1" w14:textId="77777777" w:rsidR="00042A6D" w:rsidRPr="00DD1E5E" w:rsidRDefault="00042A6D" w:rsidP="00042A6D">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10,49</w:t>
            </w:r>
          </w:p>
        </w:tc>
        <w:tc>
          <w:tcPr>
            <w:tcW w:w="2126" w:type="dxa"/>
            <w:shd w:val="clear" w:color="auto" w:fill="FBE4D5" w:themeFill="accent2" w:themeFillTint="33"/>
            <w:noWrap/>
            <w:vAlign w:val="bottom"/>
            <w:hideMark/>
          </w:tcPr>
          <w:p w14:paraId="0ED6BD17" w14:textId="77777777" w:rsidR="00042A6D" w:rsidRPr="00DD1E5E" w:rsidRDefault="00042A6D" w:rsidP="00042A6D">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4,47</w:t>
            </w:r>
          </w:p>
        </w:tc>
        <w:tc>
          <w:tcPr>
            <w:tcW w:w="1276" w:type="dxa"/>
            <w:shd w:val="clear" w:color="auto" w:fill="FBE4D5" w:themeFill="accent2" w:themeFillTint="33"/>
            <w:noWrap/>
            <w:vAlign w:val="bottom"/>
            <w:hideMark/>
          </w:tcPr>
          <w:p w14:paraId="5F20E143" w14:textId="77777777" w:rsidR="00042A6D" w:rsidRPr="00DD1E5E" w:rsidRDefault="00042A6D" w:rsidP="00042A6D">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0,611</w:t>
            </w:r>
          </w:p>
        </w:tc>
        <w:tc>
          <w:tcPr>
            <w:tcW w:w="1134" w:type="dxa"/>
            <w:shd w:val="clear" w:color="auto" w:fill="FBE4D5" w:themeFill="accent2" w:themeFillTint="33"/>
            <w:noWrap/>
            <w:vAlign w:val="bottom"/>
            <w:hideMark/>
          </w:tcPr>
          <w:p w14:paraId="0B6EB33D" w14:textId="77777777" w:rsidR="00042A6D" w:rsidRPr="00DD1E5E" w:rsidRDefault="00042A6D" w:rsidP="00042A6D">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2,31</w:t>
            </w:r>
          </w:p>
        </w:tc>
      </w:tr>
      <w:tr w:rsidR="00DA0B8A" w:rsidRPr="00DD1E5E" w14:paraId="0AA2199F" w14:textId="77777777" w:rsidTr="00DA0B8A">
        <w:trPr>
          <w:trHeight w:val="290"/>
        </w:trPr>
        <w:tc>
          <w:tcPr>
            <w:tcW w:w="860" w:type="dxa"/>
            <w:shd w:val="clear" w:color="auto" w:fill="auto"/>
            <w:noWrap/>
            <w:vAlign w:val="bottom"/>
            <w:hideMark/>
          </w:tcPr>
          <w:p w14:paraId="744BBFA3"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1903D25E" w14:textId="74416E7D"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42AA2741" w14:textId="5164B86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14B0D0EB"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81,3</w:t>
            </w:r>
          </w:p>
        </w:tc>
        <w:tc>
          <w:tcPr>
            <w:tcW w:w="2126" w:type="dxa"/>
            <w:shd w:val="clear" w:color="auto" w:fill="auto"/>
            <w:noWrap/>
            <w:vAlign w:val="bottom"/>
            <w:hideMark/>
          </w:tcPr>
          <w:p w14:paraId="5E4B74D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15,99</w:t>
            </w:r>
          </w:p>
        </w:tc>
        <w:tc>
          <w:tcPr>
            <w:tcW w:w="1276" w:type="dxa"/>
            <w:shd w:val="clear" w:color="auto" w:fill="auto"/>
            <w:noWrap/>
            <w:vAlign w:val="bottom"/>
            <w:hideMark/>
          </w:tcPr>
          <w:p w14:paraId="0FCEB2D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31,96</w:t>
            </w:r>
          </w:p>
        </w:tc>
        <w:tc>
          <w:tcPr>
            <w:tcW w:w="1134" w:type="dxa"/>
            <w:shd w:val="clear" w:color="auto" w:fill="auto"/>
            <w:noWrap/>
            <w:vAlign w:val="bottom"/>
            <w:hideMark/>
          </w:tcPr>
          <w:p w14:paraId="07B01F01"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45,49</w:t>
            </w:r>
          </w:p>
        </w:tc>
      </w:tr>
      <w:tr w:rsidR="00DA0B8A" w:rsidRPr="00DD1E5E" w14:paraId="5E78B655" w14:textId="77777777" w:rsidTr="00DA0B8A">
        <w:trPr>
          <w:trHeight w:val="290"/>
        </w:trPr>
        <w:tc>
          <w:tcPr>
            <w:tcW w:w="860" w:type="dxa"/>
            <w:shd w:val="clear" w:color="auto" w:fill="FBE4D5" w:themeFill="accent2" w:themeFillTint="33"/>
            <w:noWrap/>
            <w:vAlign w:val="bottom"/>
            <w:hideMark/>
          </w:tcPr>
          <w:p w14:paraId="07BD9B58" w14:textId="7777777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lastRenderedPageBreak/>
              <w:t>2017 m.</w:t>
            </w:r>
          </w:p>
        </w:tc>
        <w:tc>
          <w:tcPr>
            <w:tcW w:w="1040" w:type="dxa"/>
            <w:shd w:val="clear" w:color="auto" w:fill="FBE4D5" w:themeFill="accent2" w:themeFillTint="33"/>
            <w:noWrap/>
            <w:vAlign w:val="bottom"/>
            <w:hideMark/>
          </w:tcPr>
          <w:p w14:paraId="0FFD2363" w14:textId="64B85DF5"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7D434B14" w14:textId="6C68A018"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mln.eurų</w:t>
            </w:r>
          </w:p>
        </w:tc>
        <w:tc>
          <w:tcPr>
            <w:tcW w:w="2301" w:type="dxa"/>
            <w:shd w:val="clear" w:color="auto" w:fill="FBE4D5" w:themeFill="accent2" w:themeFillTint="33"/>
            <w:noWrap/>
            <w:vAlign w:val="bottom"/>
            <w:hideMark/>
          </w:tcPr>
          <w:p w14:paraId="19A42E5C"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8,96</w:t>
            </w:r>
          </w:p>
        </w:tc>
        <w:tc>
          <w:tcPr>
            <w:tcW w:w="2126" w:type="dxa"/>
            <w:shd w:val="clear" w:color="auto" w:fill="FBE4D5" w:themeFill="accent2" w:themeFillTint="33"/>
            <w:noWrap/>
            <w:vAlign w:val="bottom"/>
            <w:hideMark/>
          </w:tcPr>
          <w:p w14:paraId="4A934F12"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4,51</w:t>
            </w:r>
          </w:p>
        </w:tc>
        <w:tc>
          <w:tcPr>
            <w:tcW w:w="1276" w:type="dxa"/>
            <w:shd w:val="clear" w:color="auto" w:fill="FBE4D5" w:themeFill="accent2" w:themeFillTint="33"/>
            <w:noWrap/>
            <w:vAlign w:val="bottom"/>
            <w:hideMark/>
          </w:tcPr>
          <w:p w14:paraId="104D429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0,57</w:t>
            </w:r>
          </w:p>
        </w:tc>
        <w:tc>
          <w:tcPr>
            <w:tcW w:w="1134" w:type="dxa"/>
            <w:shd w:val="clear" w:color="auto" w:fill="FBE4D5" w:themeFill="accent2" w:themeFillTint="33"/>
            <w:noWrap/>
            <w:vAlign w:val="bottom"/>
            <w:hideMark/>
          </w:tcPr>
          <w:p w14:paraId="7F00D85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1,71</w:t>
            </w:r>
          </w:p>
        </w:tc>
      </w:tr>
      <w:tr w:rsidR="00DA0B8A" w:rsidRPr="00DD1E5E" w14:paraId="5BF9B9C6" w14:textId="77777777" w:rsidTr="00DA0B8A">
        <w:trPr>
          <w:trHeight w:val="290"/>
        </w:trPr>
        <w:tc>
          <w:tcPr>
            <w:tcW w:w="860" w:type="dxa"/>
            <w:shd w:val="clear" w:color="auto" w:fill="auto"/>
            <w:noWrap/>
            <w:vAlign w:val="bottom"/>
            <w:hideMark/>
          </w:tcPr>
          <w:p w14:paraId="57F7B936"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558940C1" w14:textId="7A38DFB3"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0D861AC9" w14:textId="335227FA"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6CBE4F5C"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98,17</w:t>
            </w:r>
          </w:p>
        </w:tc>
        <w:tc>
          <w:tcPr>
            <w:tcW w:w="2126" w:type="dxa"/>
            <w:shd w:val="clear" w:color="auto" w:fill="auto"/>
            <w:noWrap/>
            <w:vAlign w:val="bottom"/>
            <w:hideMark/>
          </w:tcPr>
          <w:p w14:paraId="5BF75B0E"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18,87</w:t>
            </w:r>
          </w:p>
        </w:tc>
        <w:tc>
          <w:tcPr>
            <w:tcW w:w="1276" w:type="dxa"/>
            <w:shd w:val="clear" w:color="auto" w:fill="auto"/>
            <w:noWrap/>
            <w:vAlign w:val="bottom"/>
            <w:hideMark/>
          </w:tcPr>
          <w:p w14:paraId="3B6D11CF"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28,69</w:t>
            </w:r>
          </w:p>
        </w:tc>
        <w:tc>
          <w:tcPr>
            <w:tcW w:w="1134" w:type="dxa"/>
            <w:shd w:val="clear" w:color="auto" w:fill="auto"/>
            <w:noWrap/>
            <w:vAlign w:val="bottom"/>
            <w:hideMark/>
          </w:tcPr>
          <w:p w14:paraId="6251175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37,69</w:t>
            </w:r>
          </w:p>
        </w:tc>
      </w:tr>
      <w:tr w:rsidR="00DA0B8A" w:rsidRPr="00DD1E5E" w14:paraId="3B6DA138" w14:textId="77777777" w:rsidTr="00DA0B8A">
        <w:trPr>
          <w:trHeight w:val="290"/>
        </w:trPr>
        <w:tc>
          <w:tcPr>
            <w:tcW w:w="860" w:type="dxa"/>
            <w:shd w:val="clear" w:color="auto" w:fill="FBE4D5" w:themeFill="accent2" w:themeFillTint="33"/>
            <w:noWrap/>
            <w:vAlign w:val="bottom"/>
            <w:hideMark/>
          </w:tcPr>
          <w:p w14:paraId="1658D838" w14:textId="7777777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2018 m.</w:t>
            </w:r>
          </w:p>
        </w:tc>
        <w:tc>
          <w:tcPr>
            <w:tcW w:w="1040" w:type="dxa"/>
            <w:shd w:val="clear" w:color="auto" w:fill="FBE4D5" w:themeFill="accent2" w:themeFillTint="33"/>
            <w:noWrap/>
            <w:vAlign w:val="bottom"/>
            <w:hideMark/>
          </w:tcPr>
          <w:p w14:paraId="696B9669" w14:textId="6A0E4668"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5F763194" w14:textId="3AFA7334"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mln.eurų</w:t>
            </w:r>
          </w:p>
        </w:tc>
        <w:tc>
          <w:tcPr>
            <w:tcW w:w="2301" w:type="dxa"/>
            <w:shd w:val="clear" w:color="auto" w:fill="FBE4D5" w:themeFill="accent2" w:themeFillTint="33"/>
            <w:noWrap/>
            <w:vAlign w:val="bottom"/>
            <w:hideMark/>
          </w:tcPr>
          <w:p w14:paraId="5458E922"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14,06</w:t>
            </w:r>
          </w:p>
        </w:tc>
        <w:tc>
          <w:tcPr>
            <w:tcW w:w="2126" w:type="dxa"/>
            <w:shd w:val="clear" w:color="auto" w:fill="FBE4D5" w:themeFill="accent2" w:themeFillTint="33"/>
            <w:noWrap/>
            <w:vAlign w:val="bottom"/>
            <w:hideMark/>
          </w:tcPr>
          <w:p w14:paraId="71F4AC8B"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6,45</w:t>
            </w:r>
          </w:p>
        </w:tc>
        <w:tc>
          <w:tcPr>
            <w:tcW w:w="1276" w:type="dxa"/>
            <w:shd w:val="clear" w:color="auto" w:fill="FBE4D5" w:themeFill="accent2" w:themeFillTint="33"/>
            <w:noWrap/>
            <w:vAlign w:val="bottom"/>
            <w:hideMark/>
          </w:tcPr>
          <w:p w14:paraId="528C3F9D"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0,47</w:t>
            </w:r>
          </w:p>
        </w:tc>
        <w:tc>
          <w:tcPr>
            <w:tcW w:w="1134" w:type="dxa"/>
            <w:shd w:val="clear" w:color="auto" w:fill="FBE4D5" w:themeFill="accent2" w:themeFillTint="33"/>
            <w:noWrap/>
            <w:vAlign w:val="bottom"/>
            <w:hideMark/>
          </w:tcPr>
          <w:p w14:paraId="69715242"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1,096</w:t>
            </w:r>
          </w:p>
        </w:tc>
      </w:tr>
      <w:tr w:rsidR="00DA0B8A" w:rsidRPr="00DD1E5E" w14:paraId="70793E38" w14:textId="77777777" w:rsidTr="00DA0B8A">
        <w:trPr>
          <w:trHeight w:val="290"/>
        </w:trPr>
        <w:tc>
          <w:tcPr>
            <w:tcW w:w="860" w:type="dxa"/>
            <w:shd w:val="clear" w:color="auto" w:fill="auto"/>
            <w:noWrap/>
            <w:vAlign w:val="bottom"/>
            <w:hideMark/>
          </w:tcPr>
          <w:p w14:paraId="77CEA2C1"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4D46B5E8" w14:textId="7A36CCCD"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2CBD5F6C" w14:textId="140F0D34"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7802796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93,826</w:t>
            </w:r>
          </w:p>
        </w:tc>
        <w:tc>
          <w:tcPr>
            <w:tcW w:w="2126" w:type="dxa"/>
            <w:shd w:val="clear" w:color="auto" w:fill="auto"/>
            <w:noWrap/>
            <w:vAlign w:val="bottom"/>
            <w:hideMark/>
          </w:tcPr>
          <w:p w14:paraId="11F8C6C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18,58</w:t>
            </w:r>
          </w:p>
        </w:tc>
        <w:tc>
          <w:tcPr>
            <w:tcW w:w="1276" w:type="dxa"/>
            <w:shd w:val="clear" w:color="auto" w:fill="auto"/>
            <w:noWrap/>
            <w:vAlign w:val="bottom"/>
            <w:hideMark/>
          </w:tcPr>
          <w:p w14:paraId="0FEE901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24,029</w:t>
            </w:r>
          </w:p>
        </w:tc>
        <w:tc>
          <w:tcPr>
            <w:tcW w:w="1134" w:type="dxa"/>
            <w:shd w:val="clear" w:color="auto" w:fill="auto"/>
            <w:noWrap/>
            <w:vAlign w:val="bottom"/>
            <w:hideMark/>
          </w:tcPr>
          <w:p w14:paraId="4E1AAD5A"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28,198</w:t>
            </w:r>
          </w:p>
        </w:tc>
      </w:tr>
      <w:tr w:rsidR="00DA0B8A" w:rsidRPr="00DD1E5E" w14:paraId="6DADF52C" w14:textId="77777777" w:rsidTr="00DA0B8A">
        <w:trPr>
          <w:trHeight w:val="290"/>
        </w:trPr>
        <w:tc>
          <w:tcPr>
            <w:tcW w:w="860" w:type="dxa"/>
            <w:shd w:val="clear" w:color="auto" w:fill="FBE4D5" w:themeFill="accent2" w:themeFillTint="33"/>
            <w:noWrap/>
            <w:vAlign w:val="bottom"/>
            <w:hideMark/>
          </w:tcPr>
          <w:p w14:paraId="7654D317" w14:textId="7777777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 xml:space="preserve">2019 m. </w:t>
            </w:r>
          </w:p>
        </w:tc>
        <w:tc>
          <w:tcPr>
            <w:tcW w:w="1040" w:type="dxa"/>
            <w:shd w:val="clear" w:color="auto" w:fill="FBE4D5" w:themeFill="accent2" w:themeFillTint="33"/>
            <w:noWrap/>
            <w:vAlign w:val="bottom"/>
            <w:hideMark/>
          </w:tcPr>
          <w:p w14:paraId="2F331729" w14:textId="06388F3D"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560C58D5" w14:textId="039530ED"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mln.eurų</w:t>
            </w:r>
          </w:p>
        </w:tc>
        <w:tc>
          <w:tcPr>
            <w:tcW w:w="2301" w:type="dxa"/>
            <w:shd w:val="clear" w:color="auto" w:fill="FBE4D5" w:themeFill="accent2" w:themeFillTint="33"/>
            <w:noWrap/>
            <w:vAlign w:val="bottom"/>
            <w:hideMark/>
          </w:tcPr>
          <w:p w14:paraId="32B8D486"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10,69</w:t>
            </w:r>
          </w:p>
        </w:tc>
        <w:tc>
          <w:tcPr>
            <w:tcW w:w="2126" w:type="dxa"/>
            <w:shd w:val="clear" w:color="auto" w:fill="FBE4D5" w:themeFill="accent2" w:themeFillTint="33"/>
            <w:noWrap/>
            <w:vAlign w:val="bottom"/>
            <w:hideMark/>
          </w:tcPr>
          <w:p w14:paraId="77BDD6CB"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6,62</w:t>
            </w:r>
          </w:p>
        </w:tc>
        <w:tc>
          <w:tcPr>
            <w:tcW w:w="1276" w:type="dxa"/>
            <w:shd w:val="clear" w:color="auto" w:fill="FBE4D5" w:themeFill="accent2" w:themeFillTint="33"/>
            <w:noWrap/>
            <w:vAlign w:val="bottom"/>
            <w:hideMark/>
          </w:tcPr>
          <w:p w14:paraId="48E619D7"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0,399</w:t>
            </w:r>
          </w:p>
        </w:tc>
        <w:tc>
          <w:tcPr>
            <w:tcW w:w="1134" w:type="dxa"/>
            <w:shd w:val="clear" w:color="auto" w:fill="FBE4D5" w:themeFill="accent2" w:themeFillTint="33"/>
            <w:noWrap/>
            <w:vAlign w:val="bottom"/>
            <w:hideMark/>
          </w:tcPr>
          <w:p w14:paraId="3E7A1CC1"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0,748</w:t>
            </w:r>
          </w:p>
        </w:tc>
      </w:tr>
      <w:tr w:rsidR="00DA0B8A" w:rsidRPr="00DD1E5E" w14:paraId="69192856" w14:textId="77777777" w:rsidTr="00DA0B8A">
        <w:trPr>
          <w:trHeight w:val="290"/>
        </w:trPr>
        <w:tc>
          <w:tcPr>
            <w:tcW w:w="860" w:type="dxa"/>
            <w:shd w:val="clear" w:color="auto" w:fill="auto"/>
            <w:noWrap/>
            <w:vAlign w:val="bottom"/>
            <w:hideMark/>
          </w:tcPr>
          <w:p w14:paraId="45A389C0"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2DE872D4" w14:textId="5E927E8A"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4989EDF5" w14:textId="5A557C8D"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4B7A99A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76,63</w:t>
            </w:r>
          </w:p>
        </w:tc>
        <w:tc>
          <w:tcPr>
            <w:tcW w:w="2126" w:type="dxa"/>
            <w:shd w:val="clear" w:color="auto" w:fill="auto"/>
            <w:noWrap/>
            <w:vAlign w:val="bottom"/>
            <w:hideMark/>
          </w:tcPr>
          <w:p w14:paraId="3965B113"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19,82</w:t>
            </w:r>
          </w:p>
        </w:tc>
        <w:tc>
          <w:tcPr>
            <w:tcW w:w="1276" w:type="dxa"/>
            <w:shd w:val="clear" w:color="auto" w:fill="auto"/>
            <w:noWrap/>
            <w:vAlign w:val="bottom"/>
            <w:hideMark/>
          </w:tcPr>
          <w:p w14:paraId="0D470716"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19,82</w:t>
            </w:r>
          </w:p>
        </w:tc>
        <w:tc>
          <w:tcPr>
            <w:tcW w:w="1134" w:type="dxa"/>
            <w:shd w:val="clear" w:color="auto" w:fill="auto"/>
            <w:noWrap/>
            <w:vAlign w:val="bottom"/>
            <w:hideMark/>
          </w:tcPr>
          <w:p w14:paraId="78E7A105"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15,82</w:t>
            </w:r>
          </w:p>
        </w:tc>
      </w:tr>
      <w:tr w:rsidR="00DA0B8A" w:rsidRPr="00DD1E5E" w14:paraId="697C45B9" w14:textId="77777777" w:rsidTr="00DA0B8A">
        <w:trPr>
          <w:trHeight w:val="290"/>
        </w:trPr>
        <w:tc>
          <w:tcPr>
            <w:tcW w:w="860" w:type="dxa"/>
            <w:shd w:val="clear" w:color="auto" w:fill="FBE4D5" w:themeFill="accent2" w:themeFillTint="33"/>
            <w:noWrap/>
            <w:vAlign w:val="bottom"/>
            <w:hideMark/>
          </w:tcPr>
          <w:p w14:paraId="052D5E43" w14:textId="77777777"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2020 m.</w:t>
            </w:r>
          </w:p>
        </w:tc>
        <w:tc>
          <w:tcPr>
            <w:tcW w:w="1040" w:type="dxa"/>
            <w:shd w:val="clear" w:color="auto" w:fill="FBE4D5" w:themeFill="accent2" w:themeFillTint="33"/>
            <w:noWrap/>
            <w:vAlign w:val="bottom"/>
            <w:hideMark/>
          </w:tcPr>
          <w:p w14:paraId="3885DCD9" w14:textId="108D9B04"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Išlaidos</w:t>
            </w:r>
          </w:p>
        </w:tc>
        <w:tc>
          <w:tcPr>
            <w:tcW w:w="1039" w:type="dxa"/>
            <w:shd w:val="clear" w:color="auto" w:fill="FBE4D5" w:themeFill="accent2" w:themeFillTint="33"/>
            <w:noWrap/>
            <w:vAlign w:val="bottom"/>
            <w:hideMark/>
          </w:tcPr>
          <w:p w14:paraId="027646A1" w14:textId="163E7E68"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mln.eurų</w:t>
            </w:r>
          </w:p>
        </w:tc>
        <w:tc>
          <w:tcPr>
            <w:tcW w:w="2301" w:type="dxa"/>
            <w:shd w:val="clear" w:color="auto" w:fill="FBE4D5" w:themeFill="accent2" w:themeFillTint="33"/>
            <w:noWrap/>
            <w:vAlign w:val="bottom"/>
            <w:hideMark/>
          </w:tcPr>
          <w:p w14:paraId="0E804125"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6,1</w:t>
            </w:r>
          </w:p>
        </w:tc>
        <w:tc>
          <w:tcPr>
            <w:tcW w:w="2126" w:type="dxa"/>
            <w:shd w:val="clear" w:color="auto" w:fill="FBE4D5" w:themeFill="accent2" w:themeFillTint="33"/>
            <w:noWrap/>
            <w:vAlign w:val="bottom"/>
            <w:hideMark/>
          </w:tcPr>
          <w:p w14:paraId="694FD3D3"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6,3</w:t>
            </w:r>
          </w:p>
        </w:tc>
        <w:tc>
          <w:tcPr>
            <w:tcW w:w="1276" w:type="dxa"/>
            <w:shd w:val="clear" w:color="auto" w:fill="FBE4D5" w:themeFill="accent2" w:themeFillTint="33"/>
            <w:noWrap/>
            <w:vAlign w:val="bottom"/>
            <w:hideMark/>
          </w:tcPr>
          <w:p w14:paraId="367E3D04"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0,35</w:t>
            </w:r>
          </w:p>
        </w:tc>
        <w:tc>
          <w:tcPr>
            <w:tcW w:w="1134" w:type="dxa"/>
            <w:shd w:val="clear" w:color="auto" w:fill="FBE4D5" w:themeFill="accent2" w:themeFillTint="33"/>
            <w:noWrap/>
            <w:vAlign w:val="bottom"/>
            <w:hideMark/>
          </w:tcPr>
          <w:p w14:paraId="23F7837E"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0,37</w:t>
            </w:r>
          </w:p>
        </w:tc>
      </w:tr>
      <w:tr w:rsidR="00DA0B8A" w:rsidRPr="00DD1E5E" w14:paraId="0819CBF1" w14:textId="77777777" w:rsidTr="00DA0B8A">
        <w:trPr>
          <w:trHeight w:val="290"/>
        </w:trPr>
        <w:tc>
          <w:tcPr>
            <w:tcW w:w="860" w:type="dxa"/>
            <w:shd w:val="clear" w:color="auto" w:fill="auto"/>
            <w:noWrap/>
            <w:vAlign w:val="bottom"/>
            <w:hideMark/>
          </w:tcPr>
          <w:p w14:paraId="5F8BB8F3"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p>
        </w:tc>
        <w:tc>
          <w:tcPr>
            <w:tcW w:w="1040" w:type="dxa"/>
            <w:shd w:val="clear" w:color="auto" w:fill="auto"/>
            <w:noWrap/>
            <w:vAlign w:val="bottom"/>
            <w:hideMark/>
          </w:tcPr>
          <w:p w14:paraId="0E432DF4" w14:textId="03BB764F"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Gavėjai</w:t>
            </w:r>
          </w:p>
        </w:tc>
        <w:tc>
          <w:tcPr>
            <w:tcW w:w="1039" w:type="dxa"/>
            <w:shd w:val="clear" w:color="auto" w:fill="auto"/>
            <w:noWrap/>
            <w:vAlign w:val="bottom"/>
            <w:hideMark/>
          </w:tcPr>
          <w:p w14:paraId="42469DCA" w14:textId="75A4D992" w:rsidR="00DA0B8A" w:rsidRPr="00DD1E5E" w:rsidRDefault="00DA0B8A" w:rsidP="00DA0B8A">
            <w:pPr>
              <w:spacing w:after="0" w:line="240" w:lineRule="auto"/>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tūkst.žm.</w:t>
            </w:r>
          </w:p>
        </w:tc>
        <w:tc>
          <w:tcPr>
            <w:tcW w:w="2301" w:type="dxa"/>
            <w:shd w:val="clear" w:color="auto" w:fill="auto"/>
            <w:noWrap/>
            <w:vAlign w:val="bottom"/>
            <w:hideMark/>
          </w:tcPr>
          <w:p w14:paraId="2A203868"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77,67</w:t>
            </w:r>
          </w:p>
        </w:tc>
        <w:tc>
          <w:tcPr>
            <w:tcW w:w="2126" w:type="dxa"/>
            <w:shd w:val="clear" w:color="auto" w:fill="auto"/>
            <w:noWrap/>
            <w:vAlign w:val="bottom"/>
            <w:hideMark/>
          </w:tcPr>
          <w:p w14:paraId="3120C872"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16,69</w:t>
            </w:r>
          </w:p>
        </w:tc>
        <w:tc>
          <w:tcPr>
            <w:tcW w:w="1276" w:type="dxa"/>
            <w:shd w:val="clear" w:color="auto" w:fill="auto"/>
            <w:noWrap/>
            <w:vAlign w:val="bottom"/>
            <w:hideMark/>
          </w:tcPr>
          <w:p w14:paraId="51B68F03"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17,1</w:t>
            </w:r>
          </w:p>
        </w:tc>
        <w:tc>
          <w:tcPr>
            <w:tcW w:w="1134" w:type="dxa"/>
            <w:shd w:val="clear" w:color="auto" w:fill="auto"/>
            <w:noWrap/>
            <w:vAlign w:val="bottom"/>
            <w:hideMark/>
          </w:tcPr>
          <w:p w14:paraId="63993882" w14:textId="77777777" w:rsidR="00DA0B8A" w:rsidRPr="00DD1E5E" w:rsidRDefault="00DA0B8A" w:rsidP="00DA0B8A">
            <w:pPr>
              <w:spacing w:after="0" w:line="240" w:lineRule="auto"/>
              <w:jc w:val="right"/>
              <w:rPr>
                <w:rFonts w:ascii="Times New Roman" w:eastAsia="Times New Roman" w:hAnsi="Times New Roman" w:cs="Times New Roman"/>
                <w:color w:val="000000"/>
                <w:sz w:val="24"/>
                <w:szCs w:val="24"/>
                <w:lang w:val="lt-LT" w:eastAsia="lt-LT"/>
              </w:rPr>
            </w:pPr>
            <w:r w:rsidRPr="00DD1E5E">
              <w:rPr>
                <w:rFonts w:ascii="Times New Roman" w:eastAsia="Times New Roman" w:hAnsi="Times New Roman" w:cs="Times New Roman"/>
                <w:color w:val="000000"/>
                <w:sz w:val="24"/>
                <w:szCs w:val="24"/>
                <w:lang w:val="lt-LT" w:eastAsia="lt-LT"/>
              </w:rPr>
              <w:t>10,3</w:t>
            </w:r>
          </w:p>
        </w:tc>
      </w:tr>
    </w:tbl>
    <w:p w14:paraId="1281ABFC" w14:textId="77777777" w:rsidR="00DD1E5E" w:rsidRDefault="00DD1E5E" w:rsidP="00106915">
      <w:pPr>
        <w:spacing w:after="0" w:line="240" w:lineRule="auto"/>
        <w:rPr>
          <w:rFonts w:ascii="Times New Roman" w:hAnsi="Times New Roman" w:cs="Times New Roman"/>
          <w:sz w:val="24"/>
          <w:szCs w:val="24"/>
          <w:lang w:val="lt-LT"/>
        </w:rPr>
      </w:pPr>
    </w:p>
    <w:p w14:paraId="1C85D173" w14:textId="13B499EC" w:rsidR="009731FF" w:rsidRPr="00DD1E5E" w:rsidRDefault="00042A6D" w:rsidP="00106915">
      <w:pPr>
        <w:spacing w:after="0" w:line="240"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*Kompensacijų gavėjų skaičius nurodytas vidutiniškai per vieną šildymo sezono mėnesį</w:t>
      </w:r>
      <w:r w:rsidRPr="00DD1E5E">
        <w:rPr>
          <w:rFonts w:ascii="Times New Roman" w:hAnsi="Times New Roman" w:cs="Times New Roman"/>
          <w:sz w:val="24"/>
          <w:szCs w:val="24"/>
          <w:lang w:val="lt-LT"/>
        </w:rPr>
        <w:tab/>
      </w:r>
    </w:p>
    <w:p w14:paraId="5B1BDD92" w14:textId="1E837BCB" w:rsidR="00042A6D" w:rsidRPr="00DD1E5E" w:rsidRDefault="009731FF" w:rsidP="00106915">
      <w:pPr>
        <w:spacing w:after="0" w:line="240" w:lineRule="auto"/>
        <w:rPr>
          <w:rFonts w:ascii="Times New Roman" w:hAnsi="Times New Roman" w:cs="Times New Roman"/>
          <w:sz w:val="24"/>
          <w:szCs w:val="24"/>
          <w:lang w:val="lt-LT"/>
        </w:rPr>
      </w:pPr>
      <w:r w:rsidRPr="00DD1E5E">
        <w:rPr>
          <w:rFonts w:ascii="Times New Roman" w:hAnsi="Times New Roman" w:cs="Times New Roman"/>
          <w:sz w:val="24"/>
          <w:szCs w:val="24"/>
          <w:lang w:val="lt-LT"/>
        </w:rPr>
        <w:t xml:space="preserve">Šaltinis: SADM. Statistika. </w:t>
      </w:r>
      <w:hyperlink r:id="rId14" w:history="1">
        <w:r w:rsidRPr="00DD1E5E">
          <w:rPr>
            <w:rStyle w:val="Hipersaitas"/>
            <w:rFonts w:ascii="Times New Roman" w:hAnsi="Times New Roman" w:cs="Times New Roman"/>
            <w:sz w:val="24"/>
            <w:szCs w:val="24"/>
            <w:lang w:val="lt-LT"/>
          </w:rPr>
          <w:t>https://socmin.lrv.lt/lt/veiklos-sritys/seima-ir-vaikai/socialine-parama-seimoms-ir-vaikams/statistika</w:t>
        </w:r>
      </w:hyperlink>
      <w:r w:rsidRPr="00DD1E5E">
        <w:rPr>
          <w:rFonts w:ascii="Times New Roman" w:hAnsi="Times New Roman" w:cs="Times New Roman"/>
          <w:sz w:val="24"/>
          <w:szCs w:val="24"/>
          <w:lang w:val="lt-LT"/>
        </w:rPr>
        <w:t xml:space="preserve"> </w:t>
      </w:r>
      <w:r w:rsidR="00042A6D" w:rsidRPr="00DD1E5E">
        <w:rPr>
          <w:rFonts w:ascii="Times New Roman" w:hAnsi="Times New Roman" w:cs="Times New Roman"/>
          <w:sz w:val="24"/>
          <w:szCs w:val="24"/>
          <w:lang w:val="lt-LT"/>
        </w:rPr>
        <w:tab/>
      </w:r>
      <w:r w:rsidR="00042A6D" w:rsidRPr="00DD1E5E">
        <w:rPr>
          <w:rFonts w:ascii="Times New Roman" w:hAnsi="Times New Roman" w:cs="Times New Roman"/>
          <w:sz w:val="24"/>
          <w:szCs w:val="24"/>
          <w:lang w:val="lt-LT"/>
        </w:rPr>
        <w:tab/>
      </w:r>
      <w:r w:rsidR="00042A6D" w:rsidRPr="00DD1E5E">
        <w:rPr>
          <w:rFonts w:ascii="Times New Roman" w:hAnsi="Times New Roman" w:cs="Times New Roman"/>
          <w:sz w:val="24"/>
          <w:szCs w:val="24"/>
          <w:lang w:val="lt-LT"/>
        </w:rPr>
        <w:tab/>
      </w:r>
      <w:r w:rsidR="00042A6D" w:rsidRPr="00DD1E5E">
        <w:rPr>
          <w:rFonts w:ascii="Times New Roman" w:hAnsi="Times New Roman" w:cs="Times New Roman"/>
          <w:sz w:val="24"/>
          <w:szCs w:val="24"/>
          <w:lang w:val="lt-LT"/>
        </w:rPr>
        <w:tab/>
      </w:r>
      <w:r w:rsidR="00042A6D" w:rsidRPr="00DD1E5E">
        <w:rPr>
          <w:rFonts w:ascii="Times New Roman" w:hAnsi="Times New Roman" w:cs="Times New Roman"/>
          <w:sz w:val="24"/>
          <w:szCs w:val="24"/>
          <w:lang w:val="lt-LT"/>
        </w:rPr>
        <w:tab/>
      </w:r>
    </w:p>
    <w:sectPr w:rsidR="00042A6D" w:rsidRPr="00DD1E5E" w:rsidSect="006942DD">
      <w:footerReference w:type="default" r:id="rId15"/>
      <w:endnotePr>
        <w:numFmt w:val="decimal"/>
      </w:endnotePr>
      <w:pgSz w:w="12240" w:h="15840"/>
      <w:pgMar w:top="1418"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9A9C" w14:textId="77777777" w:rsidR="007815CA" w:rsidRDefault="007815CA" w:rsidP="00823139">
      <w:pPr>
        <w:spacing w:after="0" w:line="240" w:lineRule="auto"/>
      </w:pPr>
      <w:r>
        <w:separator/>
      </w:r>
    </w:p>
  </w:endnote>
  <w:endnote w:type="continuationSeparator" w:id="0">
    <w:p w14:paraId="03F58E7E" w14:textId="77777777" w:rsidR="007815CA" w:rsidRDefault="007815CA" w:rsidP="0082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53504"/>
      <w:docPartObj>
        <w:docPartGallery w:val="Page Numbers (Bottom of Page)"/>
        <w:docPartUnique/>
      </w:docPartObj>
    </w:sdtPr>
    <w:sdtEndPr>
      <w:rPr>
        <w:noProof/>
      </w:rPr>
    </w:sdtEndPr>
    <w:sdtContent>
      <w:p w14:paraId="0AE9E74D" w14:textId="5E9FAB1D" w:rsidR="00DF7E81" w:rsidRDefault="00DF7E81">
        <w:pPr>
          <w:pStyle w:val="Porat"/>
          <w:jc w:val="right"/>
        </w:pPr>
        <w:r>
          <w:fldChar w:fldCharType="begin"/>
        </w:r>
        <w:r>
          <w:instrText xml:space="preserve"> PAGE   \* MERGEFORMAT </w:instrText>
        </w:r>
        <w:r>
          <w:fldChar w:fldCharType="separate"/>
        </w:r>
        <w:r w:rsidR="00DA0B8A">
          <w:rPr>
            <w:noProof/>
          </w:rPr>
          <w:t>6</w:t>
        </w:r>
        <w:r>
          <w:rPr>
            <w:noProof/>
          </w:rPr>
          <w:fldChar w:fldCharType="end"/>
        </w:r>
      </w:p>
    </w:sdtContent>
  </w:sdt>
  <w:p w14:paraId="37899C0C" w14:textId="77777777" w:rsidR="00505589" w:rsidRDefault="0050558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0B41" w14:textId="77777777" w:rsidR="007815CA" w:rsidRDefault="007815CA" w:rsidP="00823139">
      <w:pPr>
        <w:spacing w:after="0" w:line="240" w:lineRule="auto"/>
      </w:pPr>
      <w:r>
        <w:separator/>
      </w:r>
    </w:p>
  </w:footnote>
  <w:footnote w:type="continuationSeparator" w:id="0">
    <w:p w14:paraId="09BBCFC3" w14:textId="77777777" w:rsidR="007815CA" w:rsidRDefault="007815CA" w:rsidP="00823139">
      <w:pPr>
        <w:spacing w:after="0" w:line="240" w:lineRule="auto"/>
      </w:pPr>
      <w:r>
        <w:continuationSeparator/>
      </w:r>
    </w:p>
  </w:footnote>
  <w:footnote w:id="1">
    <w:p w14:paraId="71AA6C12" w14:textId="5FA328D2" w:rsidR="00B00BF7" w:rsidRPr="00DD1E5E" w:rsidRDefault="00B00BF7" w:rsidP="00B00BF7">
      <w:pPr>
        <w:pStyle w:val="Puslapioinaostekstas"/>
        <w:rPr>
          <w:rFonts w:ascii="Times New Roman" w:hAnsi="Times New Roman"/>
        </w:rPr>
      </w:pPr>
      <w:r w:rsidRPr="00DD1E5E">
        <w:rPr>
          <w:rStyle w:val="Puslapioinaosnuoroda"/>
          <w:rFonts w:ascii="Times New Roman" w:hAnsi="Times New Roman"/>
        </w:rPr>
        <w:footnoteRef/>
      </w:r>
      <w:r w:rsidRPr="00DD1E5E">
        <w:rPr>
          <w:rFonts w:ascii="Times New Roman" w:hAnsi="Times New Roman"/>
        </w:rPr>
        <w:t xml:space="preserve"> LIETUVOS RESPUBLIKOS PINIGINĖS SOCIALINĖS PARAMOS NEPASITURINTIEMS GYVENTOJAMS  ĮSTATYMAS </w:t>
      </w:r>
      <w:hyperlink r:id="rId1" w:history="1">
        <w:r w:rsidRPr="00DD1E5E">
          <w:rPr>
            <w:rStyle w:val="Hipersaitas"/>
            <w:rFonts w:ascii="Times New Roman" w:hAnsi="Times New Roman"/>
          </w:rPr>
          <w:t>https://www.e-tar.lt/portal/lt/legalAct/TAR.3EEE59417F13/asr</w:t>
        </w:r>
      </w:hyperlink>
      <w:r w:rsidRPr="00DD1E5E">
        <w:rPr>
          <w:rFonts w:ascii="Times New Roman" w:hAnsi="Times New Roman"/>
        </w:rPr>
        <w:t xml:space="preserve"> </w:t>
      </w:r>
    </w:p>
  </w:footnote>
  <w:footnote w:id="2">
    <w:p w14:paraId="73A8124C" w14:textId="6FF7B3BC" w:rsidR="00444E03" w:rsidRPr="00444E03" w:rsidRDefault="00444E03">
      <w:pPr>
        <w:pStyle w:val="Puslapioinaostekstas"/>
        <w:rPr>
          <w:lang w:val="en-US"/>
        </w:rPr>
      </w:pPr>
      <w:r>
        <w:rPr>
          <w:rStyle w:val="Puslapioinaosnuoroda"/>
        </w:rPr>
        <w:footnoteRef/>
      </w:r>
      <w:r>
        <w:t xml:space="preserve"> </w:t>
      </w:r>
      <w:r w:rsidRPr="00444E03">
        <w:t xml:space="preserve">Hyee, R. et al. (2020): “How reliable are social safety nets? Value and accessibility  in  situations  of  acute  economic  need”,   OECD  Social,  Employment  and Migration Working Papers, OECD Publishing, Paris, </w:t>
      </w:r>
      <w:hyperlink r:id="rId2" w:history="1">
        <w:r w:rsidRPr="002622F0">
          <w:rPr>
            <w:rStyle w:val="Hipersaitas"/>
          </w:rPr>
          <w:t>http://dx.doi.org/10.1787/1815199X</w:t>
        </w:r>
      </w:hyperlink>
      <w:r>
        <w:t xml:space="preserve"> </w:t>
      </w:r>
    </w:p>
  </w:footnote>
  <w:footnote w:id="3">
    <w:p w14:paraId="20498768" w14:textId="77777777" w:rsidR="00444E03" w:rsidRDefault="00444E03" w:rsidP="00444E03">
      <w:pPr>
        <w:pStyle w:val="Puslapioinaostekstas"/>
      </w:pPr>
      <w:r>
        <w:rPr>
          <w:rStyle w:val="Puslapioinaosnuoroda"/>
        </w:rPr>
        <w:footnoteRef/>
      </w:r>
      <w:r>
        <w:t xml:space="preserve">LRT TELEVIZIJA 2021.06.13. LRT.lt </w:t>
      </w:r>
      <w:hyperlink r:id="rId3" w:history="1">
        <w:r w:rsidRPr="00276C3F">
          <w:rPr>
            <w:rStyle w:val="Hipersaitas"/>
          </w:rPr>
          <w:t>https://www.lrt.lt/mediateka/irasas/2000155757/pernai-savivaldybes-nepanaudojo-net-70-procentu-lesu-skirtu-socialinems-ismokoms</w:t>
        </w:r>
      </w:hyperlink>
      <w:r>
        <w:t xml:space="preserve"> </w:t>
      </w:r>
    </w:p>
  </w:footnote>
  <w:footnote w:id="4">
    <w:p w14:paraId="3A2C1A4C" w14:textId="77777777" w:rsidR="00444E03" w:rsidRDefault="00444E03" w:rsidP="00444E03">
      <w:pPr>
        <w:pStyle w:val="Puslapioinaostekstas"/>
      </w:pPr>
      <w:r w:rsidRPr="00417BC9">
        <w:rPr>
          <w:rStyle w:val="Puslapioinaosnuoroda"/>
        </w:rPr>
        <w:footnoteRef/>
      </w:r>
      <w:r w:rsidRPr="00417BC9">
        <w:t xml:space="preserve"> Valstybės kontrolė atliko audito ataskaita „Ar socialinė parama užtikrina skurdžiai gyvenančių asmenų minimalius vartojimo poreikius ir skatina įsitraukti į darbo rinką“ (2019 m. liepos 29 d. Nr. VA-5),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306"/>
    <w:multiLevelType w:val="hybridMultilevel"/>
    <w:tmpl w:val="CA7C7C32"/>
    <w:lvl w:ilvl="0" w:tplc="C3D0B3DE">
      <w:start w:val="5"/>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E71543D"/>
    <w:multiLevelType w:val="hybridMultilevel"/>
    <w:tmpl w:val="9E8E5528"/>
    <w:lvl w:ilvl="0" w:tplc="EDF09C02">
      <w:start w:val="5"/>
      <w:numFmt w:val="bullet"/>
      <w:lvlText w:val="–"/>
      <w:lvlJc w:val="left"/>
      <w:pPr>
        <w:ind w:left="720" w:hanging="360"/>
      </w:pPr>
      <w:rPr>
        <w:rFonts w:ascii="Calibri" w:eastAsiaTheme="minorHAnsi" w:hAnsi="Calibri" w:cs="Calibri" w:hint="default"/>
        <w:b w:val="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47249C2"/>
    <w:multiLevelType w:val="multilevel"/>
    <w:tmpl w:val="D9EA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76504"/>
    <w:multiLevelType w:val="multilevel"/>
    <w:tmpl w:val="1326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70412"/>
    <w:multiLevelType w:val="hybridMultilevel"/>
    <w:tmpl w:val="0178C5B6"/>
    <w:lvl w:ilvl="0" w:tplc="1C2E7A94">
      <w:start w:val="5"/>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6F1CDB"/>
    <w:multiLevelType w:val="multilevel"/>
    <w:tmpl w:val="6150AF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F131F"/>
    <w:multiLevelType w:val="hybridMultilevel"/>
    <w:tmpl w:val="91BA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1E5898"/>
    <w:multiLevelType w:val="hybridMultilevel"/>
    <w:tmpl w:val="F7D2E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9143934"/>
    <w:multiLevelType w:val="multilevel"/>
    <w:tmpl w:val="6F581A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70C4D"/>
    <w:multiLevelType w:val="hybridMultilevel"/>
    <w:tmpl w:val="204C7C72"/>
    <w:lvl w:ilvl="0" w:tplc="0427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4C841CC"/>
    <w:multiLevelType w:val="hybridMultilevel"/>
    <w:tmpl w:val="D8C8F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56C85"/>
    <w:multiLevelType w:val="hybridMultilevel"/>
    <w:tmpl w:val="D494B146"/>
    <w:lvl w:ilvl="0" w:tplc="9F14435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2561B7D"/>
    <w:multiLevelType w:val="hybridMultilevel"/>
    <w:tmpl w:val="CFBA9480"/>
    <w:lvl w:ilvl="0" w:tplc="72BE6108">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34BFD"/>
    <w:multiLevelType w:val="multilevel"/>
    <w:tmpl w:val="BD1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57B03"/>
    <w:multiLevelType w:val="multilevel"/>
    <w:tmpl w:val="F49E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
  </w:num>
  <w:num w:numId="4">
    <w:abstractNumId w:val="3"/>
  </w:num>
  <w:num w:numId="5">
    <w:abstractNumId w:val="5"/>
  </w:num>
  <w:num w:numId="6">
    <w:abstractNumId w:val="12"/>
  </w:num>
  <w:num w:numId="7">
    <w:abstractNumId w:val="10"/>
  </w:num>
  <w:num w:numId="8">
    <w:abstractNumId w:val="1"/>
  </w:num>
  <w:num w:numId="9">
    <w:abstractNumId w:val="4"/>
  </w:num>
  <w:num w:numId="10">
    <w:abstractNumId w:val="0"/>
  </w:num>
  <w:num w:numId="11">
    <w:abstractNumId w:val="6"/>
  </w:num>
  <w:num w:numId="12">
    <w:abstractNumId w:val="8"/>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0NLMwMjQxMDYyMjFW0lEKTi0uzszPAymwqAUALQtfoCwAAAA="/>
  </w:docVars>
  <w:rsids>
    <w:rsidRoot w:val="00823139"/>
    <w:rsid w:val="000028C3"/>
    <w:rsid w:val="00005243"/>
    <w:rsid w:val="000069D1"/>
    <w:rsid w:val="00013736"/>
    <w:rsid w:val="00042A6D"/>
    <w:rsid w:val="000463F2"/>
    <w:rsid w:val="000557D5"/>
    <w:rsid w:val="00057307"/>
    <w:rsid w:val="00060A6D"/>
    <w:rsid w:val="00062752"/>
    <w:rsid w:val="000701E9"/>
    <w:rsid w:val="00073D31"/>
    <w:rsid w:val="000820E7"/>
    <w:rsid w:val="000977BD"/>
    <w:rsid w:val="000A36D8"/>
    <w:rsid w:val="000B1BEB"/>
    <w:rsid w:val="000B1E2B"/>
    <w:rsid w:val="000D5EC1"/>
    <w:rsid w:val="000D6287"/>
    <w:rsid w:val="000D7C68"/>
    <w:rsid w:val="000E1AB1"/>
    <w:rsid w:val="000E411E"/>
    <w:rsid w:val="000E4E04"/>
    <w:rsid w:val="000E5B9C"/>
    <w:rsid w:val="000E6EE0"/>
    <w:rsid w:val="000F4CAB"/>
    <w:rsid w:val="001001EC"/>
    <w:rsid w:val="0010291A"/>
    <w:rsid w:val="0010612C"/>
    <w:rsid w:val="00106464"/>
    <w:rsid w:val="00106915"/>
    <w:rsid w:val="00114733"/>
    <w:rsid w:val="00114960"/>
    <w:rsid w:val="00115707"/>
    <w:rsid w:val="001166F9"/>
    <w:rsid w:val="00121694"/>
    <w:rsid w:val="00132DEB"/>
    <w:rsid w:val="00133244"/>
    <w:rsid w:val="00134D1E"/>
    <w:rsid w:val="0014380E"/>
    <w:rsid w:val="00146415"/>
    <w:rsid w:val="00146F0C"/>
    <w:rsid w:val="001536E9"/>
    <w:rsid w:val="00170C3F"/>
    <w:rsid w:val="00174A7B"/>
    <w:rsid w:val="00176473"/>
    <w:rsid w:val="00176AA8"/>
    <w:rsid w:val="00183621"/>
    <w:rsid w:val="00193D3F"/>
    <w:rsid w:val="00197D71"/>
    <w:rsid w:val="001A1418"/>
    <w:rsid w:val="001A59BD"/>
    <w:rsid w:val="001C6EBF"/>
    <w:rsid w:val="001C7340"/>
    <w:rsid w:val="001E17A0"/>
    <w:rsid w:val="001E59BB"/>
    <w:rsid w:val="001E6151"/>
    <w:rsid w:val="001E61CA"/>
    <w:rsid w:val="001F1F2D"/>
    <w:rsid w:val="001F5D1F"/>
    <w:rsid w:val="001F77E4"/>
    <w:rsid w:val="001F7F23"/>
    <w:rsid w:val="0020786D"/>
    <w:rsid w:val="00210910"/>
    <w:rsid w:val="00224F63"/>
    <w:rsid w:val="00233D1E"/>
    <w:rsid w:val="00240BB0"/>
    <w:rsid w:val="0025107E"/>
    <w:rsid w:val="00254845"/>
    <w:rsid w:val="00260F4F"/>
    <w:rsid w:val="00285B12"/>
    <w:rsid w:val="00287E40"/>
    <w:rsid w:val="0029091A"/>
    <w:rsid w:val="002A383B"/>
    <w:rsid w:val="002A6938"/>
    <w:rsid w:val="002B1F05"/>
    <w:rsid w:val="002B272A"/>
    <w:rsid w:val="002B30B4"/>
    <w:rsid w:val="002B6FA0"/>
    <w:rsid w:val="002C0E12"/>
    <w:rsid w:val="002C3AE3"/>
    <w:rsid w:val="002D0A2E"/>
    <w:rsid w:val="002E3DE6"/>
    <w:rsid w:val="002F0446"/>
    <w:rsid w:val="003273E2"/>
    <w:rsid w:val="003315E0"/>
    <w:rsid w:val="003325A2"/>
    <w:rsid w:val="00335B8E"/>
    <w:rsid w:val="0036483F"/>
    <w:rsid w:val="0037020A"/>
    <w:rsid w:val="00381A89"/>
    <w:rsid w:val="003871AD"/>
    <w:rsid w:val="003A12F5"/>
    <w:rsid w:val="003A198E"/>
    <w:rsid w:val="003A6582"/>
    <w:rsid w:val="003B2E5F"/>
    <w:rsid w:val="003B5F44"/>
    <w:rsid w:val="003C0188"/>
    <w:rsid w:val="003C2764"/>
    <w:rsid w:val="003C37C8"/>
    <w:rsid w:val="003C4A4C"/>
    <w:rsid w:val="003C5E36"/>
    <w:rsid w:val="003E6027"/>
    <w:rsid w:val="003E6D0C"/>
    <w:rsid w:val="003E7266"/>
    <w:rsid w:val="003F5947"/>
    <w:rsid w:val="003F75F9"/>
    <w:rsid w:val="004006A7"/>
    <w:rsid w:val="00417BC9"/>
    <w:rsid w:val="0042444B"/>
    <w:rsid w:val="004261FB"/>
    <w:rsid w:val="004269C1"/>
    <w:rsid w:val="004343DC"/>
    <w:rsid w:val="00444E03"/>
    <w:rsid w:val="004542BD"/>
    <w:rsid w:val="00456743"/>
    <w:rsid w:val="00466398"/>
    <w:rsid w:val="004679C9"/>
    <w:rsid w:val="00475A7B"/>
    <w:rsid w:val="00484425"/>
    <w:rsid w:val="00486363"/>
    <w:rsid w:val="004A5B0A"/>
    <w:rsid w:val="004B4F78"/>
    <w:rsid w:val="004C1981"/>
    <w:rsid w:val="004C2396"/>
    <w:rsid w:val="004D60BF"/>
    <w:rsid w:val="004D6D52"/>
    <w:rsid w:val="004E11D1"/>
    <w:rsid w:val="004E67B8"/>
    <w:rsid w:val="004F4414"/>
    <w:rsid w:val="004F477B"/>
    <w:rsid w:val="004F6EC3"/>
    <w:rsid w:val="005008C4"/>
    <w:rsid w:val="00505589"/>
    <w:rsid w:val="00506B5B"/>
    <w:rsid w:val="00533AC5"/>
    <w:rsid w:val="00540551"/>
    <w:rsid w:val="00556B14"/>
    <w:rsid w:val="00586473"/>
    <w:rsid w:val="00593D5E"/>
    <w:rsid w:val="005A206C"/>
    <w:rsid w:val="005A4A62"/>
    <w:rsid w:val="005C1783"/>
    <w:rsid w:val="005D166E"/>
    <w:rsid w:val="005D708D"/>
    <w:rsid w:val="005E1C58"/>
    <w:rsid w:val="005E5447"/>
    <w:rsid w:val="005F19AA"/>
    <w:rsid w:val="005F4E57"/>
    <w:rsid w:val="00601837"/>
    <w:rsid w:val="00605375"/>
    <w:rsid w:val="0060682A"/>
    <w:rsid w:val="006069B5"/>
    <w:rsid w:val="0061421A"/>
    <w:rsid w:val="00620064"/>
    <w:rsid w:val="0063544A"/>
    <w:rsid w:val="00640363"/>
    <w:rsid w:val="006408FC"/>
    <w:rsid w:val="00646C44"/>
    <w:rsid w:val="0065601A"/>
    <w:rsid w:val="00664611"/>
    <w:rsid w:val="00672630"/>
    <w:rsid w:val="00672E1E"/>
    <w:rsid w:val="00675319"/>
    <w:rsid w:val="006805A2"/>
    <w:rsid w:val="006816E5"/>
    <w:rsid w:val="006942DD"/>
    <w:rsid w:val="006B00EA"/>
    <w:rsid w:val="006B2FC9"/>
    <w:rsid w:val="006B47BC"/>
    <w:rsid w:val="006B7760"/>
    <w:rsid w:val="006C566E"/>
    <w:rsid w:val="006D476C"/>
    <w:rsid w:val="006D4B43"/>
    <w:rsid w:val="006D6C44"/>
    <w:rsid w:val="006F10EB"/>
    <w:rsid w:val="007123D0"/>
    <w:rsid w:val="007215FB"/>
    <w:rsid w:val="00723C2B"/>
    <w:rsid w:val="0072721A"/>
    <w:rsid w:val="0073026C"/>
    <w:rsid w:val="00736DA2"/>
    <w:rsid w:val="00750419"/>
    <w:rsid w:val="00770AB6"/>
    <w:rsid w:val="0077199E"/>
    <w:rsid w:val="007815CA"/>
    <w:rsid w:val="00791D82"/>
    <w:rsid w:val="0079277D"/>
    <w:rsid w:val="00795DB3"/>
    <w:rsid w:val="007A0E0E"/>
    <w:rsid w:val="007A1185"/>
    <w:rsid w:val="007A2A7B"/>
    <w:rsid w:val="007A7D09"/>
    <w:rsid w:val="007B210C"/>
    <w:rsid w:val="007C07C1"/>
    <w:rsid w:val="007C650C"/>
    <w:rsid w:val="007D223F"/>
    <w:rsid w:val="007D2D79"/>
    <w:rsid w:val="007D4064"/>
    <w:rsid w:val="007E32E9"/>
    <w:rsid w:val="007E3C1D"/>
    <w:rsid w:val="00802641"/>
    <w:rsid w:val="00812B66"/>
    <w:rsid w:val="00823139"/>
    <w:rsid w:val="0087200B"/>
    <w:rsid w:val="00872A52"/>
    <w:rsid w:val="00873F0C"/>
    <w:rsid w:val="00874962"/>
    <w:rsid w:val="00881691"/>
    <w:rsid w:val="0088323F"/>
    <w:rsid w:val="00885F9C"/>
    <w:rsid w:val="00897EDF"/>
    <w:rsid w:val="008A18F0"/>
    <w:rsid w:val="008A45A6"/>
    <w:rsid w:val="008B04CE"/>
    <w:rsid w:val="008B57B4"/>
    <w:rsid w:val="008C3F70"/>
    <w:rsid w:val="008E3099"/>
    <w:rsid w:val="008E5181"/>
    <w:rsid w:val="008E6A4C"/>
    <w:rsid w:val="008E6F24"/>
    <w:rsid w:val="008F3645"/>
    <w:rsid w:val="00921690"/>
    <w:rsid w:val="00931D6B"/>
    <w:rsid w:val="009358C1"/>
    <w:rsid w:val="00944057"/>
    <w:rsid w:val="00945FFC"/>
    <w:rsid w:val="00952859"/>
    <w:rsid w:val="00960D2D"/>
    <w:rsid w:val="00972378"/>
    <w:rsid w:val="009731FF"/>
    <w:rsid w:val="00973C05"/>
    <w:rsid w:val="00983126"/>
    <w:rsid w:val="0098339E"/>
    <w:rsid w:val="00984447"/>
    <w:rsid w:val="009A0D4D"/>
    <w:rsid w:val="009A11B8"/>
    <w:rsid w:val="009C1210"/>
    <w:rsid w:val="009C1A0E"/>
    <w:rsid w:val="009C56F9"/>
    <w:rsid w:val="009C6057"/>
    <w:rsid w:val="009E04A2"/>
    <w:rsid w:val="009E08B6"/>
    <w:rsid w:val="009F6BE3"/>
    <w:rsid w:val="009F7B5E"/>
    <w:rsid w:val="00A00BD9"/>
    <w:rsid w:val="00A01210"/>
    <w:rsid w:val="00A07FBE"/>
    <w:rsid w:val="00A26F1C"/>
    <w:rsid w:val="00A3407D"/>
    <w:rsid w:val="00A506FA"/>
    <w:rsid w:val="00A52681"/>
    <w:rsid w:val="00A540B6"/>
    <w:rsid w:val="00A564DC"/>
    <w:rsid w:val="00A56A00"/>
    <w:rsid w:val="00A576D1"/>
    <w:rsid w:val="00A8613C"/>
    <w:rsid w:val="00A9165E"/>
    <w:rsid w:val="00A96BB5"/>
    <w:rsid w:val="00AA043E"/>
    <w:rsid w:val="00AB09E9"/>
    <w:rsid w:val="00AB3E8A"/>
    <w:rsid w:val="00AB4095"/>
    <w:rsid w:val="00AC0982"/>
    <w:rsid w:val="00AC1A90"/>
    <w:rsid w:val="00AC4CCA"/>
    <w:rsid w:val="00AC5980"/>
    <w:rsid w:val="00AD46DF"/>
    <w:rsid w:val="00AD7EAA"/>
    <w:rsid w:val="00AE03E5"/>
    <w:rsid w:val="00AE3812"/>
    <w:rsid w:val="00B00BF7"/>
    <w:rsid w:val="00B16F03"/>
    <w:rsid w:val="00B275AC"/>
    <w:rsid w:val="00B40A48"/>
    <w:rsid w:val="00B44768"/>
    <w:rsid w:val="00B52C23"/>
    <w:rsid w:val="00B5387A"/>
    <w:rsid w:val="00B5429F"/>
    <w:rsid w:val="00B55CF5"/>
    <w:rsid w:val="00B56679"/>
    <w:rsid w:val="00B775C4"/>
    <w:rsid w:val="00B77DF9"/>
    <w:rsid w:val="00B80C77"/>
    <w:rsid w:val="00B85B84"/>
    <w:rsid w:val="00B87258"/>
    <w:rsid w:val="00B9620C"/>
    <w:rsid w:val="00B965D4"/>
    <w:rsid w:val="00B97872"/>
    <w:rsid w:val="00BA6DE2"/>
    <w:rsid w:val="00BA7A96"/>
    <w:rsid w:val="00BB29F7"/>
    <w:rsid w:val="00BB7BE5"/>
    <w:rsid w:val="00BC0C5C"/>
    <w:rsid w:val="00BD0098"/>
    <w:rsid w:val="00BD6430"/>
    <w:rsid w:val="00BD7677"/>
    <w:rsid w:val="00BE1A04"/>
    <w:rsid w:val="00BE1CAE"/>
    <w:rsid w:val="00BE669D"/>
    <w:rsid w:val="00BF0821"/>
    <w:rsid w:val="00BF611E"/>
    <w:rsid w:val="00C007B4"/>
    <w:rsid w:val="00C04060"/>
    <w:rsid w:val="00C352FF"/>
    <w:rsid w:val="00C539D2"/>
    <w:rsid w:val="00C63873"/>
    <w:rsid w:val="00C66627"/>
    <w:rsid w:val="00C74FA3"/>
    <w:rsid w:val="00C75EC2"/>
    <w:rsid w:val="00C94A75"/>
    <w:rsid w:val="00CA7268"/>
    <w:rsid w:val="00CB294E"/>
    <w:rsid w:val="00CB702E"/>
    <w:rsid w:val="00CC6B0B"/>
    <w:rsid w:val="00CD01CA"/>
    <w:rsid w:val="00CE087C"/>
    <w:rsid w:val="00CF34B7"/>
    <w:rsid w:val="00D005B6"/>
    <w:rsid w:val="00D10BAE"/>
    <w:rsid w:val="00D31519"/>
    <w:rsid w:val="00D35DAE"/>
    <w:rsid w:val="00D459F3"/>
    <w:rsid w:val="00D5725A"/>
    <w:rsid w:val="00D6278F"/>
    <w:rsid w:val="00D643D4"/>
    <w:rsid w:val="00D705D2"/>
    <w:rsid w:val="00D70B42"/>
    <w:rsid w:val="00D73933"/>
    <w:rsid w:val="00D77EC3"/>
    <w:rsid w:val="00D82FE5"/>
    <w:rsid w:val="00D92883"/>
    <w:rsid w:val="00DA0B8A"/>
    <w:rsid w:val="00DA665F"/>
    <w:rsid w:val="00DB1E82"/>
    <w:rsid w:val="00DD1E5E"/>
    <w:rsid w:val="00DD2259"/>
    <w:rsid w:val="00DE03D6"/>
    <w:rsid w:val="00DE48F5"/>
    <w:rsid w:val="00DE5C5C"/>
    <w:rsid w:val="00DF7E81"/>
    <w:rsid w:val="00E04071"/>
    <w:rsid w:val="00E137FB"/>
    <w:rsid w:val="00E14723"/>
    <w:rsid w:val="00E20593"/>
    <w:rsid w:val="00E22E3F"/>
    <w:rsid w:val="00E270F7"/>
    <w:rsid w:val="00E32C78"/>
    <w:rsid w:val="00E40D9B"/>
    <w:rsid w:val="00E4326D"/>
    <w:rsid w:val="00E434B2"/>
    <w:rsid w:val="00E43FF5"/>
    <w:rsid w:val="00E47DFA"/>
    <w:rsid w:val="00E5452F"/>
    <w:rsid w:val="00E6767A"/>
    <w:rsid w:val="00E736E3"/>
    <w:rsid w:val="00E8347E"/>
    <w:rsid w:val="00E84E2C"/>
    <w:rsid w:val="00E86441"/>
    <w:rsid w:val="00E94A5A"/>
    <w:rsid w:val="00EA3488"/>
    <w:rsid w:val="00EA6D4C"/>
    <w:rsid w:val="00EA774C"/>
    <w:rsid w:val="00EB2639"/>
    <w:rsid w:val="00EB5BC8"/>
    <w:rsid w:val="00EC08D2"/>
    <w:rsid w:val="00EC14CE"/>
    <w:rsid w:val="00EC1F71"/>
    <w:rsid w:val="00ED0DD7"/>
    <w:rsid w:val="00ED0FC6"/>
    <w:rsid w:val="00ED4470"/>
    <w:rsid w:val="00EE6F7F"/>
    <w:rsid w:val="00EF0ABD"/>
    <w:rsid w:val="00F02423"/>
    <w:rsid w:val="00F15015"/>
    <w:rsid w:val="00F165CC"/>
    <w:rsid w:val="00F1680A"/>
    <w:rsid w:val="00F20E05"/>
    <w:rsid w:val="00F21157"/>
    <w:rsid w:val="00F2121A"/>
    <w:rsid w:val="00F2135C"/>
    <w:rsid w:val="00F257D2"/>
    <w:rsid w:val="00F2604F"/>
    <w:rsid w:val="00F2657D"/>
    <w:rsid w:val="00F31282"/>
    <w:rsid w:val="00F326CD"/>
    <w:rsid w:val="00F34F53"/>
    <w:rsid w:val="00F35A6A"/>
    <w:rsid w:val="00F36CCC"/>
    <w:rsid w:val="00F3716E"/>
    <w:rsid w:val="00F41A1B"/>
    <w:rsid w:val="00F4395B"/>
    <w:rsid w:val="00F52482"/>
    <w:rsid w:val="00F52EC5"/>
    <w:rsid w:val="00F6057C"/>
    <w:rsid w:val="00F6157A"/>
    <w:rsid w:val="00F62B30"/>
    <w:rsid w:val="00F67B93"/>
    <w:rsid w:val="00F74F6B"/>
    <w:rsid w:val="00F81FB6"/>
    <w:rsid w:val="00F82181"/>
    <w:rsid w:val="00F848D6"/>
    <w:rsid w:val="00F856FC"/>
    <w:rsid w:val="00F85AA7"/>
    <w:rsid w:val="00F8693B"/>
    <w:rsid w:val="00F86E28"/>
    <w:rsid w:val="00F908D8"/>
    <w:rsid w:val="00F95AA1"/>
    <w:rsid w:val="00FA53CE"/>
    <w:rsid w:val="00FC0A60"/>
    <w:rsid w:val="00FC4B14"/>
    <w:rsid w:val="00FC4E3D"/>
    <w:rsid w:val="00FC5767"/>
    <w:rsid w:val="00FE3390"/>
    <w:rsid w:val="00FF09F7"/>
    <w:rsid w:val="00FF0AE9"/>
    <w:rsid w:val="00FF408E"/>
    <w:rsid w:val="00FF5925"/>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2C06"/>
  <w15:docId w15:val="{BD7ACC0F-7648-4561-A8B9-4341FC67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380E"/>
  </w:style>
  <w:style w:type="paragraph" w:styleId="Antrat2">
    <w:name w:val="heading 2"/>
    <w:basedOn w:val="prastasis"/>
    <w:next w:val="prastasis"/>
    <w:link w:val="Antrat2Diagrama"/>
    <w:uiPriority w:val="9"/>
    <w:unhideWhenUsed/>
    <w:qFormat/>
    <w:rsid w:val="00E73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single space,footnote text,Fußnotentext arial,fn,Char1,Char,atask Puslapio išnašos tekstas,Footnote,Footnote Diagrama,Footnote Text Char Char,Footnote Char Char,Footnote Char,Footnote text,Footnote Text Char1 Char Char2,Footnot"/>
    <w:basedOn w:val="prastasis"/>
    <w:link w:val="PuslapioinaostekstasDiagrama"/>
    <w:unhideWhenUsed/>
    <w:qFormat/>
    <w:rsid w:val="00823139"/>
    <w:pPr>
      <w:spacing w:after="0" w:line="240" w:lineRule="auto"/>
      <w:jc w:val="both"/>
    </w:pPr>
    <w:rPr>
      <w:rFonts w:ascii="Calibri" w:eastAsia="Times New Roman" w:hAnsi="Calibri" w:cs="Times New Roman"/>
      <w:sz w:val="20"/>
      <w:szCs w:val="20"/>
      <w:lang w:val="lt-LT"/>
    </w:rPr>
  </w:style>
  <w:style w:type="character" w:customStyle="1" w:styleId="PuslapioinaostekstasDiagrama">
    <w:name w:val="Puslapio išnašos tekstas Diagrama"/>
    <w:aliases w:val="single space Diagrama,footnote text Diagrama,Fußnotentext arial Diagrama,fn Diagrama,Char1 Diagrama,Char Diagrama,atask Puslapio išnašos tekstas Diagrama,Footnote Diagrama1,Footnote Diagrama Diagrama,Footnot Diagrama"/>
    <w:basedOn w:val="Numatytasispastraiposriftas"/>
    <w:link w:val="Puslapioinaostekstas"/>
    <w:rsid w:val="00823139"/>
    <w:rPr>
      <w:rFonts w:ascii="Calibri" w:eastAsia="Times New Roman" w:hAnsi="Calibri" w:cs="Times New Roman"/>
      <w:sz w:val="20"/>
      <w:szCs w:val="20"/>
      <w:lang w:val="lt-LT"/>
    </w:rPr>
  </w:style>
  <w:style w:type="character" w:styleId="Puslapioinaosnuoroda">
    <w:name w:val="footnote reference"/>
    <w:aliases w:val="Footnote Reference Superscript,BVI fnr, BVI fnr,Footnote symbol,Footnote reference number,note TESI,Appel note de bas de p,Nota,SUPERS,Footnote number,EN Footnote Reference,-E Fußnotenzeichen,number Char Char,number,Ref,styl,o"/>
    <w:basedOn w:val="Numatytasispastraiposriftas"/>
    <w:uiPriority w:val="99"/>
    <w:unhideWhenUsed/>
    <w:qFormat/>
    <w:rsid w:val="00823139"/>
    <w:rPr>
      <w:vertAlign w:val="superscript"/>
    </w:rPr>
  </w:style>
  <w:style w:type="character" w:customStyle="1" w:styleId="tlid-translation">
    <w:name w:val="tlid-translation"/>
    <w:basedOn w:val="Numatytasispastraiposriftas"/>
    <w:rsid w:val="00823139"/>
  </w:style>
  <w:style w:type="paragraph" w:styleId="Sraopastraipa">
    <w:name w:val="List Paragraph"/>
    <w:basedOn w:val="prastasis"/>
    <w:uiPriority w:val="34"/>
    <w:qFormat/>
    <w:rsid w:val="00B85B84"/>
    <w:pPr>
      <w:ind w:left="720"/>
      <w:contextualSpacing/>
    </w:pPr>
  </w:style>
  <w:style w:type="character" w:styleId="Hipersaitas">
    <w:name w:val="Hyperlink"/>
    <w:basedOn w:val="Numatytasispastraiposriftas"/>
    <w:uiPriority w:val="99"/>
    <w:unhideWhenUsed/>
    <w:rsid w:val="006C566E"/>
    <w:rPr>
      <w:color w:val="0563C1" w:themeColor="hyperlink"/>
      <w:u w:val="single"/>
    </w:rPr>
  </w:style>
  <w:style w:type="table" w:customStyle="1" w:styleId="PlainTable11">
    <w:name w:val="Plain Table 11"/>
    <w:basedOn w:val="prastojilentel"/>
    <w:uiPriority w:val="41"/>
    <w:rsid w:val="004D6D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entaronuoroda">
    <w:name w:val="annotation reference"/>
    <w:basedOn w:val="Numatytasispastraiposriftas"/>
    <w:uiPriority w:val="99"/>
    <w:semiHidden/>
    <w:unhideWhenUsed/>
    <w:rsid w:val="00A01210"/>
    <w:rPr>
      <w:sz w:val="16"/>
      <w:szCs w:val="16"/>
    </w:rPr>
  </w:style>
  <w:style w:type="paragraph" w:styleId="Komentarotekstas">
    <w:name w:val="annotation text"/>
    <w:basedOn w:val="prastasis"/>
    <w:link w:val="KomentarotekstasDiagrama"/>
    <w:uiPriority w:val="99"/>
    <w:unhideWhenUsed/>
    <w:rsid w:val="00A0121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01210"/>
    <w:rPr>
      <w:sz w:val="20"/>
      <w:szCs w:val="20"/>
    </w:rPr>
  </w:style>
  <w:style w:type="paragraph" w:styleId="Komentarotema">
    <w:name w:val="annotation subject"/>
    <w:basedOn w:val="Komentarotekstas"/>
    <w:next w:val="Komentarotekstas"/>
    <w:link w:val="KomentarotemaDiagrama"/>
    <w:uiPriority w:val="99"/>
    <w:semiHidden/>
    <w:unhideWhenUsed/>
    <w:rsid w:val="00A01210"/>
    <w:rPr>
      <w:b/>
      <w:bCs/>
    </w:rPr>
  </w:style>
  <w:style w:type="character" w:customStyle="1" w:styleId="KomentarotemaDiagrama">
    <w:name w:val="Komentaro tema Diagrama"/>
    <w:basedOn w:val="KomentarotekstasDiagrama"/>
    <w:link w:val="Komentarotema"/>
    <w:uiPriority w:val="99"/>
    <w:semiHidden/>
    <w:rsid w:val="00A01210"/>
    <w:rPr>
      <w:b/>
      <w:bCs/>
      <w:sz w:val="20"/>
      <w:szCs w:val="20"/>
    </w:rPr>
  </w:style>
  <w:style w:type="paragraph" w:styleId="Debesliotekstas">
    <w:name w:val="Balloon Text"/>
    <w:basedOn w:val="prastasis"/>
    <w:link w:val="DebesliotekstasDiagrama"/>
    <w:uiPriority w:val="99"/>
    <w:semiHidden/>
    <w:unhideWhenUsed/>
    <w:rsid w:val="00A0121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1210"/>
    <w:rPr>
      <w:rFonts w:ascii="Segoe UI" w:hAnsi="Segoe UI" w:cs="Segoe UI"/>
      <w:sz w:val="18"/>
      <w:szCs w:val="18"/>
    </w:rPr>
  </w:style>
  <w:style w:type="character" w:styleId="Vietosrezervavimoenklotekstas">
    <w:name w:val="Placeholder Text"/>
    <w:basedOn w:val="Numatytasispastraiposriftas"/>
    <w:uiPriority w:val="99"/>
    <w:semiHidden/>
    <w:rsid w:val="00E8347E"/>
    <w:rPr>
      <w:color w:val="808080"/>
    </w:rPr>
  </w:style>
  <w:style w:type="character" w:customStyle="1" w:styleId="Antrat2Diagrama">
    <w:name w:val="Antraštė 2 Diagrama"/>
    <w:basedOn w:val="Numatytasispastraiposriftas"/>
    <w:link w:val="Antrat2"/>
    <w:uiPriority w:val="9"/>
    <w:rsid w:val="00E736E3"/>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E7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prastojilentel"/>
    <w:uiPriority w:val="47"/>
    <w:rsid w:val="00BB7BE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prastojilentel"/>
    <w:uiPriority w:val="49"/>
    <w:rsid w:val="00F35A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prastojilentel"/>
    <w:uiPriority w:val="48"/>
    <w:rsid w:val="00533A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1Light-Accent61">
    <w:name w:val="Grid Table 1 Light - Accent 61"/>
    <w:basedOn w:val="prastojilentel"/>
    <w:uiPriority w:val="46"/>
    <w:rsid w:val="00533A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Dokumentoinaostekstas">
    <w:name w:val="endnote text"/>
    <w:basedOn w:val="prastasis"/>
    <w:link w:val="DokumentoinaostekstasDiagrama"/>
    <w:uiPriority w:val="99"/>
    <w:semiHidden/>
    <w:unhideWhenUsed/>
    <w:rsid w:val="007D2D79"/>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7D2D79"/>
    <w:rPr>
      <w:sz w:val="20"/>
      <w:szCs w:val="20"/>
    </w:rPr>
  </w:style>
  <w:style w:type="character" w:styleId="Dokumentoinaosnumeris">
    <w:name w:val="endnote reference"/>
    <w:basedOn w:val="Numatytasispastraiposriftas"/>
    <w:uiPriority w:val="99"/>
    <w:semiHidden/>
    <w:unhideWhenUsed/>
    <w:rsid w:val="007D2D79"/>
    <w:rPr>
      <w:vertAlign w:val="superscript"/>
    </w:rPr>
  </w:style>
  <w:style w:type="paragraph" w:styleId="Antrats">
    <w:name w:val="header"/>
    <w:basedOn w:val="prastasis"/>
    <w:link w:val="AntratsDiagrama"/>
    <w:uiPriority w:val="99"/>
    <w:unhideWhenUsed/>
    <w:rsid w:val="00505589"/>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05589"/>
  </w:style>
  <w:style w:type="paragraph" w:styleId="Porat">
    <w:name w:val="footer"/>
    <w:basedOn w:val="prastasis"/>
    <w:link w:val="PoratDiagrama"/>
    <w:unhideWhenUsed/>
    <w:rsid w:val="00505589"/>
    <w:pPr>
      <w:tabs>
        <w:tab w:val="center" w:pos="4986"/>
        <w:tab w:val="right" w:pos="9972"/>
      </w:tabs>
      <w:spacing w:after="0" w:line="240" w:lineRule="auto"/>
    </w:pPr>
  </w:style>
  <w:style w:type="character" w:customStyle="1" w:styleId="PoratDiagrama">
    <w:name w:val="Poraštė Diagrama"/>
    <w:basedOn w:val="Numatytasispastraiposriftas"/>
    <w:link w:val="Porat"/>
    <w:rsid w:val="00505589"/>
  </w:style>
  <w:style w:type="paragraph" w:styleId="Pataisymai">
    <w:name w:val="Revision"/>
    <w:hidden/>
    <w:uiPriority w:val="99"/>
    <w:semiHidden/>
    <w:rsid w:val="00B275AC"/>
    <w:pPr>
      <w:spacing w:after="0" w:line="240" w:lineRule="auto"/>
    </w:pPr>
  </w:style>
  <w:style w:type="character" w:styleId="Puslapionumeris">
    <w:name w:val="page number"/>
    <w:basedOn w:val="Numatytasispastraiposriftas"/>
    <w:uiPriority w:val="99"/>
    <w:semiHidden/>
    <w:unhideWhenUsed/>
    <w:rsid w:val="006D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620">
      <w:bodyDiv w:val="1"/>
      <w:marLeft w:val="0"/>
      <w:marRight w:val="0"/>
      <w:marTop w:val="0"/>
      <w:marBottom w:val="0"/>
      <w:divBdr>
        <w:top w:val="none" w:sz="0" w:space="0" w:color="auto"/>
        <w:left w:val="none" w:sz="0" w:space="0" w:color="auto"/>
        <w:bottom w:val="none" w:sz="0" w:space="0" w:color="auto"/>
        <w:right w:val="none" w:sz="0" w:space="0" w:color="auto"/>
      </w:divBdr>
    </w:div>
    <w:div w:id="19161068">
      <w:bodyDiv w:val="1"/>
      <w:marLeft w:val="0"/>
      <w:marRight w:val="0"/>
      <w:marTop w:val="0"/>
      <w:marBottom w:val="0"/>
      <w:divBdr>
        <w:top w:val="none" w:sz="0" w:space="0" w:color="auto"/>
        <w:left w:val="none" w:sz="0" w:space="0" w:color="auto"/>
        <w:bottom w:val="none" w:sz="0" w:space="0" w:color="auto"/>
        <w:right w:val="none" w:sz="0" w:space="0" w:color="auto"/>
      </w:divBdr>
    </w:div>
    <w:div w:id="121308106">
      <w:bodyDiv w:val="1"/>
      <w:marLeft w:val="0"/>
      <w:marRight w:val="0"/>
      <w:marTop w:val="0"/>
      <w:marBottom w:val="0"/>
      <w:divBdr>
        <w:top w:val="none" w:sz="0" w:space="0" w:color="auto"/>
        <w:left w:val="none" w:sz="0" w:space="0" w:color="auto"/>
        <w:bottom w:val="none" w:sz="0" w:space="0" w:color="auto"/>
        <w:right w:val="none" w:sz="0" w:space="0" w:color="auto"/>
      </w:divBdr>
    </w:div>
    <w:div w:id="123737968">
      <w:bodyDiv w:val="1"/>
      <w:marLeft w:val="0"/>
      <w:marRight w:val="0"/>
      <w:marTop w:val="0"/>
      <w:marBottom w:val="0"/>
      <w:divBdr>
        <w:top w:val="none" w:sz="0" w:space="0" w:color="auto"/>
        <w:left w:val="none" w:sz="0" w:space="0" w:color="auto"/>
        <w:bottom w:val="none" w:sz="0" w:space="0" w:color="auto"/>
        <w:right w:val="none" w:sz="0" w:space="0" w:color="auto"/>
      </w:divBdr>
    </w:div>
    <w:div w:id="149489630">
      <w:bodyDiv w:val="1"/>
      <w:marLeft w:val="0"/>
      <w:marRight w:val="0"/>
      <w:marTop w:val="0"/>
      <w:marBottom w:val="0"/>
      <w:divBdr>
        <w:top w:val="none" w:sz="0" w:space="0" w:color="auto"/>
        <w:left w:val="none" w:sz="0" w:space="0" w:color="auto"/>
        <w:bottom w:val="none" w:sz="0" w:space="0" w:color="auto"/>
        <w:right w:val="none" w:sz="0" w:space="0" w:color="auto"/>
      </w:divBdr>
    </w:div>
    <w:div w:id="304435240">
      <w:bodyDiv w:val="1"/>
      <w:marLeft w:val="0"/>
      <w:marRight w:val="0"/>
      <w:marTop w:val="0"/>
      <w:marBottom w:val="0"/>
      <w:divBdr>
        <w:top w:val="none" w:sz="0" w:space="0" w:color="auto"/>
        <w:left w:val="none" w:sz="0" w:space="0" w:color="auto"/>
        <w:bottom w:val="none" w:sz="0" w:space="0" w:color="auto"/>
        <w:right w:val="none" w:sz="0" w:space="0" w:color="auto"/>
      </w:divBdr>
    </w:div>
    <w:div w:id="355085135">
      <w:bodyDiv w:val="1"/>
      <w:marLeft w:val="0"/>
      <w:marRight w:val="0"/>
      <w:marTop w:val="0"/>
      <w:marBottom w:val="0"/>
      <w:divBdr>
        <w:top w:val="none" w:sz="0" w:space="0" w:color="auto"/>
        <w:left w:val="none" w:sz="0" w:space="0" w:color="auto"/>
        <w:bottom w:val="none" w:sz="0" w:space="0" w:color="auto"/>
        <w:right w:val="none" w:sz="0" w:space="0" w:color="auto"/>
      </w:divBdr>
    </w:div>
    <w:div w:id="487720164">
      <w:bodyDiv w:val="1"/>
      <w:marLeft w:val="0"/>
      <w:marRight w:val="0"/>
      <w:marTop w:val="0"/>
      <w:marBottom w:val="0"/>
      <w:divBdr>
        <w:top w:val="none" w:sz="0" w:space="0" w:color="auto"/>
        <w:left w:val="none" w:sz="0" w:space="0" w:color="auto"/>
        <w:bottom w:val="none" w:sz="0" w:space="0" w:color="auto"/>
        <w:right w:val="none" w:sz="0" w:space="0" w:color="auto"/>
      </w:divBdr>
    </w:div>
    <w:div w:id="674646505">
      <w:bodyDiv w:val="1"/>
      <w:marLeft w:val="0"/>
      <w:marRight w:val="0"/>
      <w:marTop w:val="0"/>
      <w:marBottom w:val="0"/>
      <w:divBdr>
        <w:top w:val="none" w:sz="0" w:space="0" w:color="auto"/>
        <w:left w:val="none" w:sz="0" w:space="0" w:color="auto"/>
        <w:bottom w:val="none" w:sz="0" w:space="0" w:color="auto"/>
        <w:right w:val="none" w:sz="0" w:space="0" w:color="auto"/>
      </w:divBdr>
    </w:div>
    <w:div w:id="742751414">
      <w:bodyDiv w:val="1"/>
      <w:marLeft w:val="0"/>
      <w:marRight w:val="0"/>
      <w:marTop w:val="0"/>
      <w:marBottom w:val="0"/>
      <w:divBdr>
        <w:top w:val="none" w:sz="0" w:space="0" w:color="auto"/>
        <w:left w:val="none" w:sz="0" w:space="0" w:color="auto"/>
        <w:bottom w:val="none" w:sz="0" w:space="0" w:color="auto"/>
        <w:right w:val="none" w:sz="0" w:space="0" w:color="auto"/>
      </w:divBdr>
    </w:div>
    <w:div w:id="932787916">
      <w:bodyDiv w:val="1"/>
      <w:marLeft w:val="0"/>
      <w:marRight w:val="0"/>
      <w:marTop w:val="0"/>
      <w:marBottom w:val="0"/>
      <w:divBdr>
        <w:top w:val="none" w:sz="0" w:space="0" w:color="auto"/>
        <w:left w:val="none" w:sz="0" w:space="0" w:color="auto"/>
        <w:bottom w:val="none" w:sz="0" w:space="0" w:color="auto"/>
        <w:right w:val="none" w:sz="0" w:space="0" w:color="auto"/>
      </w:divBdr>
    </w:div>
    <w:div w:id="1039548581">
      <w:bodyDiv w:val="1"/>
      <w:marLeft w:val="0"/>
      <w:marRight w:val="0"/>
      <w:marTop w:val="0"/>
      <w:marBottom w:val="0"/>
      <w:divBdr>
        <w:top w:val="none" w:sz="0" w:space="0" w:color="auto"/>
        <w:left w:val="none" w:sz="0" w:space="0" w:color="auto"/>
        <w:bottom w:val="none" w:sz="0" w:space="0" w:color="auto"/>
        <w:right w:val="none" w:sz="0" w:space="0" w:color="auto"/>
      </w:divBdr>
    </w:div>
    <w:div w:id="1059520904">
      <w:bodyDiv w:val="1"/>
      <w:marLeft w:val="0"/>
      <w:marRight w:val="0"/>
      <w:marTop w:val="0"/>
      <w:marBottom w:val="0"/>
      <w:divBdr>
        <w:top w:val="none" w:sz="0" w:space="0" w:color="auto"/>
        <w:left w:val="none" w:sz="0" w:space="0" w:color="auto"/>
        <w:bottom w:val="none" w:sz="0" w:space="0" w:color="auto"/>
        <w:right w:val="none" w:sz="0" w:space="0" w:color="auto"/>
      </w:divBdr>
    </w:div>
    <w:div w:id="1121266837">
      <w:bodyDiv w:val="1"/>
      <w:marLeft w:val="0"/>
      <w:marRight w:val="0"/>
      <w:marTop w:val="0"/>
      <w:marBottom w:val="0"/>
      <w:divBdr>
        <w:top w:val="none" w:sz="0" w:space="0" w:color="auto"/>
        <w:left w:val="none" w:sz="0" w:space="0" w:color="auto"/>
        <w:bottom w:val="none" w:sz="0" w:space="0" w:color="auto"/>
        <w:right w:val="none" w:sz="0" w:space="0" w:color="auto"/>
      </w:divBdr>
    </w:div>
    <w:div w:id="1183324456">
      <w:bodyDiv w:val="1"/>
      <w:marLeft w:val="0"/>
      <w:marRight w:val="0"/>
      <w:marTop w:val="0"/>
      <w:marBottom w:val="0"/>
      <w:divBdr>
        <w:top w:val="none" w:sz="0" w:space="0" w:color="auto"/>
        <w:left w:val="none" w:sz="0" w:space="0" w:color="auto"/>
        <w:bottom w:val="none" w:sz="0" w:space="0" w:color="auto"/>
        <w:right w:val="none" w:sz="0" w:space="0" w:color="auto"/>
      </w:divBdr>
    </w:div>
    <w:div w:id="1323507676">
      <w:bodyDiv w:val="1"/>
      <w:marLeft w:val="0"/>
      <w:marRight w:val="0"/>
      <w:marTop w:val="0"/>
      <w:marBottom w:val="0"/>
      <w:divBdr>
        <w:top w:val="none" w:sz="0" w:space="0" w:color="auto"/>
        <w:left w:val="none" w:sz="0" w:space="0" w:color="auto"/>
        <w:bottom w:val="none" w:sz="0" w:space="0" w:color="auto"/>
        <w:right w:val="none" w:sz="0" w:space="0" w:color="auto"/>
      </w:divBdr>
    </w:div>
    <w:div w:id="1333215766">
      <w:bodyDiv w:val="1"/>
      <w:marLeft w:val="0"/>
      <w:marRight w:val="0"/>
      <w:marTop w:val="0"/>
      <w:marBottom w:val="0"/>
      <w:divBdr>
        <w:top w:val="none" w:sz="0" w:space="0" w:color="auto"/>
        <w:left w:val="none" w:sz="0" w:space="0" w:color="auto"/>
        <w:bottom w:val="none" w:sz="0" w:space="0" w:color="auto"/>
        <w:right w:val="none" w:sz="0" w:space="0" w:color="auto"/>
      </w:divBdr>
    </w:div>
    <w:div w:id="1573465807">
      <w:bodyDiv w:val="1"/>
      <w:marLeft w:val="0"/>
      <w:marRight w:val="0"/>
      <w:marTop w:val="0"/>
      <w:marBottom w:val="0"/>
      <w:divBdr>
        <w:top w:val="none" w:sz="0" w:space="0" w:color="auto"/>
        <w:left w:val="none" w:sz="0" w:space="0" w:color="auto"/>
        <w:bottom w:val="none" w:sz="0" w:space="0" w:color="auto"/>
        <w:right w:val="none" w:sz="0" w:space="0" w:color="auto"/>
      </w:divBdr>
    </w:div>
    <w:div w:id="1706516853">
      <w:bodyDiv w:val="1"/>
      <w:marLeft w:val="0"/>
      <w:marRight w:val="0"/>
      <w:marTop w:val="0"/>
      <w:marBottom w:val="0"/>
      <w:divBdr>
        <w:top w:val="none" w:sz="0" w:space="0" w:color="auto"/>
        <w:left w:val="none" w:sz="0" w:space="0" w:color="auto"/>
        <w:bottom w:val="none" w:sz="0" w:space="0" w:color="auto"/>
        <w:right w:val="none" w:sz="0" w:space="0" w:color="auto"/>
      </w:divBdr>
    </w:div>
    <w:div w:id="1759791372">
      <w:bodyDiv w:val="1"/>
      <w:marLeft w:val="0"/>
      <w:marRight w:val="0"/>
      <w:marTop w:val="0"/>
      <w:marBottom w:val="0"/>
      <w:divBdr>
        <w:top w:val="none" w:sz="0" w:space="0" w:color="auto"/>
        <w:left w:val="none" w:sz="0" w:space="0" w:color="auto"/>
        <w:bottom w:val="none" w:sz="0" w:space="0" w:color="auto"/>
        <w:right w:val="none" w:sz="0" w:space="0" w:color="auto"/>
      </w:divBdr>
      <w:divsChild>
        <w:div w:id="989553827">
          <w:marLeft w:val="45"/>
          <w:marRight w:val="0"/>
          <w:marTop w:val="225"/>
          <w:marBottom w:val="0"/>
          <w:divBdr>
            <w:top w:val="none" w:sz="0" w:space="0" w:color="auto"/>
            <w:left w:val="none" w:sz="0" w:space="0" w:color="auto"/>
            <w:bottom w:val="none" w:sz="0" w:space="0" w:color="auto"/>
            <w:right w:val="none" w:sz="0" w:space="0" w:color="auto"/>
          </w:divBdr>
        </w:div>
      </w:divsChild>
    </w:div>
    <w:div w:id="1780759936">
      <w:bodyDiv w:val="1"/>
      <w:marLeft w:val="0"/>
      <w:marRight w:val="0"/>
      <w:marTop w:val="0"/>
      <w:marBottom w:val="0"/>
      <w:divBdr>
        <w:top w:val="none" w:sz="0" w:space="0" w:color="auto"/>
        <w:left w:val="none" w:sz="0" w:space="0" w:color="auto"/>
        <w:bottom w:val="none" w:sz="0" w:space="0" w:color="auto"/>
        <w:right w:val="none" w:sz="0" w:space="0" w:color="auto"/>
      </w:divBdr>
    </w:div>
    <w:div w:id="18963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ujienos.vu.lt/vu-mokslininkai-parenge-socialines-politikos-rekomendacijas-lietuvai-del-covid-19-krizes-padariniu-sumazinim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ujienos.vu.lt/vu-mokslininkai-parenge-socialines-politikos-rekomendacijas-lietuvai-del-covid-19-krizes-padariniu-sumazinimo/"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ocmin.lrv.lt/lt/veiklos-sritys/seima-ir-vaikai/socialine-parama-seimoms-ir-vaikams/statistik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rt.lt/mediateka/irasas/2000155757/pernai-savivaldybes-nepanaudojo-net-70-procentu-lesu-skirtu-socialinems-ismokoms" TargetMode="External"/><Relationship Id="rId2" Type="http://schemas.openxmlformats.org/officeDocument/2006/relationships/hyperlink" Target="http://dx.doi.org/10.1787/1815199X" TargetMode="External"/><Relationship Id="rId1" Type="http://schemas.openxmlformats.org/officeDocument/2006/relationships/hyperlink" Target="https://www.e-tar.lt/portal/lt/legalAct/TAR.3EEE59417F13/as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06505213316671E-2"/>
          <c:y val="5.0925925925925923E-2"/>
          <c:w val="0.8751869895733666"/>
          <c:h val="0.70799358413531654"/>
        </c:manualLayout>
      </c:layout>
      <c:barChart>
        <c:barDir val="col"/>
        <c:grouping val="stacked"/>
        <c:varyColors val="0"/>
        <c:ser>
          <c:idx val="0"/>
          <c:order val="0"/>
          <c:tx>
            <c:strRef>
              <c:f>Sheet2!$A$13</c:f>
              <c:strCache>
                <c:ptCount val="1"/>
                <c:pt idx="0">
                  <c:v>Skurstantieji, tūkst.</c:v>
                </c:pt>
              </c:strCache>
            </c:strRef>
          </c:tx>
          <c:spPr>
            <a:solidFill>
              <a:schemeClr val="accent1">
                <a:lumMod val="20000"/>
                <a:lumOff val="80000"/>
              </a:schemeClr>
            </a:solidFill>
            <a:ln>
              <a:solidFill>
                <a:schemeClr val="accent2">
                  <a:lumMod val="75000"/>
                </a:schemeClr>
              </a:solidFill>
            </a:ln>
            <a:effectLst/>
          </c:spPr>
          <c:invertIfNegative val="0"/>
          <c:cat>
            <c:strRef>
              <c:f>Sheet2!$B$8:$R$8</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strCache>
            </c:strRef>
          </c:cat>
          <c:val>
            <c:numRef>
              <c:f>Sheet2!$B$13:$R$13</c:f>
              <c:numCache>
                <c:formatCode>0</c:formatCode>
                <c:ptCount val="17"/>
                <c:pt idx="0">
                  <c:v>696.78044499999999</c:v>
                </c:pt>
                <c:pt idx="1">
                  <c:v>671.04399999999998</c:v>
                </c:pt>
                <c:pt idx="2">
                  <c:v>628.35848500000009</c:v>
                </c:pt>
                <c:pt idx="3">
                  <c:v>649.99659999999994</c:v>
                </c:pt>
                <c:pt idx="4">
                  <c:v>661.79663000000016</c:v>
                </c:pt>
                <c:pt idx="5">
                  <c:v>643.138912</c:v>
                </c:pt>
                <c:pt idx="6">
                  <c:v>603.25939200000005</c:v>
                </c:pt>
                <c:pt idx="7">
                  <c:v>567.78136800000004</c:v>
                </c:pt>
                <c:pt idx="8">
                  <c:v>618.750046</c:v>
                </c:pt>
                <c:pt idx="9">
                  <c:v>567.63385500000015</c:v>
                </c:pt>
                <c:pt idx="10">
                  <c:v>662.2811999999999</c:v>
                </c:pt>
                <c:pt idx="11">
                  <c:v>639.75637800000004</c:v>
                </c:pt>
                <c:pt idx="12">
                  <c:v>661.479782</c:v>
                </c:pt>
                <c:pt idx="13">
                  <c:v>652.17001599999992</c:v>
                </c:pt>
                <c:pt idx="14">
                  <c:v>578.63360599999999</c:v>
                </c:pt>
                <c:pt idx="15">
                  <c:v>606.33792799999992</c:v>
                </c:pt>
              </c:numCache>
            </c:numRef>
          </c:val>
          <c:extLst>
            <c:ext xmlns:c16="http://schemas.microsoft.com/office/drawing/2014/chart" uri="{C3380CC4-5D6E-409C-BE32-E72D297353CC}">
              <c16:uniqueId val="{00000000-864D-484A-AA8E-39D052A670FA}"/>
            </c:ext>
          </c:extLst>
        </c:ser>
        <c:ser>
          <c:idx val="1"/>
          <c:order val="1"/>
          <c:tx>
            <c:strRef>
              <c:f>Sheet2!$A$14</c:f>
              <c:strCache>
                <c:ptCount val="1"/>
                <c:pt idx="0">
                  <c:v>Pašalpos gavėjai, tūkst.</c:v>
                </c:pt>
              </c:strCache>
            </c:strRef>
          </c:tx>
          <c:spPr>
            <a:solidFill>
              <a:schemeClr val="accent4">
                <a:lumMod val="40000"/>
                <a:lumOff val="60000"/>
              </a:schemeClr>
            </a:solidFill>
            <a:ln>
              <a:solidFill>
                <a:schemeClr val="accent2">
                  <a:lumMod val="75000"/>
                </a:schemeClr>
              </a:solid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1-864D-484A-AA8E-39D052A670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Sheet2!$B$8:$R$8</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strCache>
            </c:strRef>
          </c:cat>
          <c:val>
            <c:numRef>
              <c:f>Sheet2!$B$14:$R$14</c:f>
              <c:numCache>
                <c:formatCode>General</c:formatCode>
                <c:ptCount val="17"/>
                <c:pt idx="0">
                  <c:v>84</c:v>
                </c:pt>
                <c:pt idx="1">
                  <c:v>54</c:v>
                </c:pt>
                <c:pt idx="2">
                  <c:v>38</c:v>
                </c:pt>
                <c:pt idx="3">
                  <c:v>37</c:v>
                </c:pt>
                <c:pt idx="4">
                  <c:v>37</c:v>
                </c:pt>
                <c:pt idx="5">
                  <c:v>74</c:v>
                </c:pt>
                <c:pt idx="6">
                  <c:v>181</c:v>
                </c:pt>
                <c:pt idx="7">
                  <c:v>221</c:v>
                </c:pt>
                <c:pt idx="8">
                  <c:v>222</c:v>
                </c:pt>
                <c:pt idx="9">
                  <c:v>190</c:v>
                </c:pt>
                <c:pt idx="10">
                  <c:v>140</c:v>
                </c:pt>
                <c:pt idx="11">
                  <c:v>111</c:v>
                </c:pt>
                <c:pt idx="12">
                  <c:v>88</c:v>
                </c:pt>
                <c:pt idx="13">
                  <c:v>75</c:v>
                </c:pt>
                <c:pt idx="14">
                  <c:v>71</c:v>
                </c:pt>
                <c:pt idx="15">
                  <c:v>65</c:v>
                </c:pt>
                <c:pt idx="16">
                  <c:v>43</c:v>
                </c:pt>
              </c:numCache>
            </c:numRef>
          </c:val>
          <c:extLst>
            <c:ext xmlns:c16="http://schemas.microsoft.com/office/drawing/2014/chart" uri="{C3380CC4-5D6E-409C-BE32-E72D297353CC}">
              <c16:uniqueId val="{00000002-864D-484A-AA8E-39D052A670FA}"/>
            </c:ext>
          </c:extLst>
        </c:ser>
        <c:dLbls>
          <c:showLegendKey val="0"/>
          <c:showVal val="0"/>
          <c:showCatName val="0"/>
          <c:showSerName val="0"/>
          <c:showPercent val="0"/>
          <c:showBubbleSize val="0"/>
        </c:dLbls>
        <c:gapWidth val="219"/>
        <c:overlap val="100"/>
        <c:axId val="310438288"/>
        <c:axId val="251106304"/>
      </c:barChart>
      <c:lineChart>
        <c:grouping val="standard"/>
        <c:varyColors val="0"/>
        <c:ser>
          <c:idx val="2"/>
          <c:order val="2"/>
          <c:tx>
            <c:strRef>
              <c:f>Sheet2!$A$15</c:f>
              <c:strCache>
                <c:ptCount val="1"/>
                <c:pt idx="0">
                  <c:v>Pašalpos gavėjų dalis skurstančiųjų skaičiuje, proc.</c:v>
                </c:pt>
              </c:strCache>
            </c:strRef>
          </c:tx>
          <c:spPr>
            <a:ln w="2222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Sheet2!$B$8:$R$8</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strCache>
            </c:strRef>
          </c:cat>
          <c:val>
            <c:numRef>
              <c:f>Sheet2!$B$15:$R$15</c:f>
              <c:numCache>
                <c:formatCode>0</c:formatCode>
                <c:ptCount val="17"/>
                <c:pt idx="0">
                  <c:v>12.055447394193159</c:v>
                </c:pt>
                <c:pt idx="1">
                  <c:v>8.0471623321272521</c:v>
                </c:pt>
                <c:pt idx="2">
                  <c:v>6.0475032815065743</c:v>
                </c:pt>
                <c:pt idx="3">
                  <c:v>5.6923374676113703</c:v>
                </c:pt>
                <c:pt idx="4">
                  <c:v>5.5908414039521466</c:v>
                </c:pt>
                <c:pt idx="5">
                  <c:v>11.506067914609403</c:v>
                </c:pt>
                <c:pt idx="6">
                  <c:v>30.003677091528814</c:v>
                </c:pt>
                <c:pt idx="7">
                  <c:v>38.923432936601749</c:v>
                </c:pt>
                <c:pt idx="8">
                  <c:v>35.878785211435762</c:v>
                </c:pt>
                <c:pt idx="9">
                  <c:v>33.472281176745518</c:v>
                </c:pt>
                <c:pt idx="10">
                  <c:v>21.139056944391598</c:v>
                </c:pt>
                <c:pt idx="11">
                  <c:v>17.350354575128595</c:v>
                </c:pt>
                <c:pt idx="12">
                  <c:v>13.303505624001065</c:v>
                </c:pt>
                <c:pt idx="13">
                  <c:v>11.500068718277291</c:v>
                </c:pt>
                <c:pt idx="14">
                  <c:v>12.270286285446062</c:v>
                </c:pt>
                <c:pt idx="15">
                  <c:v>10.720094686209372</c:v>
                </c:pt>
              </c:numCache>
            </c:numRef>
          </c:val>
          <c:smooth val="0"/>
          <c:extLst>
            <c:ext xmlns:c16="http://schemas.microsoft.com/office/drawing/2014/chart" uri="{C3380CC4-5D6E-409C-BE32-E72D297353CC}">
              <c16:uniqueId val="{00000003-864D-484A-AA8E-39D052A670FA}"/>
            </c:ext>
          </c:extLst>
        </c:ser>
        <c:dLbls>
          <c:showLegendKey val="0"/>
          <c:showVal val="0"/>
          <c:showCatName val="0"/>
          <c:showSerName val="0"/>
          <c:showPercent val="0"/>
          <c:showBubbleSize val="0"/>
        </c:dLbls>
        <c:marker val="1"/>
        <c:smooth val="0"/>
        <c:axId val="501240608"/>
        <c:axId val="408147328"/>
      </c:lineChart>
      <c:catAx>
        <c:axId val="31043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51106304"/>
        <c:crosses val="autoZero"/>
        <c:auto val="1"/>
        <c:lblAlgn val="ctr"/>
        <c:lblOffset val="100"/>
        <c:noMultiLvlLbl val="0"/>
      </c:catAx>
      <c:valAx>
        <c:axId val="25110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0438288"/>
        <c:crosses val="autoZero"/>
        <c:crossBetween val="between"/>
      </c:valAx>
      <c:valAx>
        <c:axId val="408147328"/>
        <c:scaling>
          <c:orientation val="minMax"/>
          <c:max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1240608"/>
        <c:crosses val="max"/>
        <c:crossBetween val="between"/>
      </c:valAx>
      <c:catAx>
        <c:axId val="501240608"/>
        <c:scaling>
          <c:orientation val="minMax"/>
        </c:scaling>
        <c:delete val="1"/>
        <c:axPos val="b"/>
        <c:numFmt formatCode="General" sourceLinked="1"/>
        <c:majorTickMark val="out"/>
        <c:minorTickMark val="none"/>
        <c:tickLblPos val="nextTo"/>
        <c:crossAx val="408147328"/>
        <c:crosses val="autoZero"/>
        <c:auto val="1"/>
        <c:lblAlgn val="ctr"/>
        <c:lblOffset val="100"/>
        <c:noMultiLvlLbl val="0"/>
      </c:catAx>
      <c:spPr>
        <a:noFill/>
        <a:ln>
          <a:noFill/>
        </a:ln>
        <a:effectLst/>
      </c:spPr>
    </c:plotArea>
    <c:legend>
      <c:legendPos val="b"/>
      <c:layout>
        <c:manualLayout>
          <c:xMode val="edge"/>
          <c:yMode val="edge"/>
          <c:x val="3.0977480128151241E-2"/>
          <c:y val="0.86053076698745989"/>
          <c:w val="0.93567237369350187"/>
          <c:h val="0.111691455234762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51780722531634E-2"/>
          <c:y val="5.0925925925925923E-2"/>
          <c:w val="0.88618261741672533"/>
          <c:h val="0.66979804607757354"/>
        </c:manualLayout>
      </c:layout>
      <c:barChart>
        <c:barDir val="col"/>
        <c:grouping val="clustered"/>
        <c:varyColors val="0"/>
        <c:ser>
          <c:idx val="0"/>
          <c:order val="0"/>
          <c:tx>
            <c:strRef>
              <c:f>Sheet2!$A$19</c:f>
              <c:strCache>
                <c:ptCount val="1"/>
                <c:pt idx="0">
                  <c:v>Skurdo rizikos riba 1 asm.</c:v>
                </c:pt>
              </c:strCache>
            </c:strRef>
          </c:tx>
          <c:spPr>
            <a:solidFill>
              <a:schemeClr val="accent1">
                <a:lumMod val="40000"/>
                <a:lumOff val="60000"/>
              </a:schemeClr>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Sheet2!$B$18:$R$18</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strCache>
            </c:strRef>
          </c:cat>
          <c:val>
            <c:numRef>
              <c:f>Sheet2!$B$19:$R$19</c:f>
              <c:numCache>
                <c:formatCode>0</c:formatCode>
                <c:ptCount val="17"/>
                <c:pt idx="0">
                  <c:v>102.81510658016683</c:v>
                </c:pt>
                <c:pt idx="1">
                  <c:v>126.56394810009269</c:v>
                </c:pt>
                <c:pt idx="2">
                  <c:v>163.92493049119557</c:v>
                </c:pt>
                <c:pt idx="3">
                  <c:v>209</c:v>
                </c:pt>
                <c:pt idx="4">
                  <c:v>241</c:v>
                </c:pt>
                <c:pt idx="5">
                  <c:v>203</c:v>
                </c:pt>
                <c:pt idx="6">
                  <c:v>200</c:v>
                </c:pt>
                <c:pt idx="7">
                  <c:v>217</c:v>
                </c:pt>
                <c:pt idx="8">
                  <c:v>235</c:v>
                </c:pt>
                <c:pt idx="9">
                  <c:v>241</c:v>
                </c:pt>
                <c:pt idx="10">
                  <c:v>259</c:v>
                </c:pt>
                <c:pt idx="11">
                  <c:v>282</c:v>
                </c:pt>
                <c:pt idx="12">
                  <c:v>307</c:v>
                </c:pt>
                <c:pt idx="13">
                  <c:v>345</c:v>
                </c:pt>
                <c:pt idx="14">
                  <c:v>379</c:v>
                </c:pt>
                <c:pt idx="15">
                  <c:v>445</c:v>
                </c:pt>
              </c:numCache>
            </c:numRef>
          </c:val>
          <c:extLst>
            <c:ext xmlns:c16="http://schemas.microsoft.com/office/drawing/2014/chart" uri="{C3380CC4-5D6E-409C-BE32-E72D297353CC}">
              <c16:uniqueId val="{00000000-AB08-4BB4-9F25-D20ED434D1D1}"/>
            </c:ext>
          </c:extLst>
        </c:ser>
        <c:dLbls>
          <c:showLegendKey val="0"/>
          <c:showVal val="0"/>
          <c:showCatName val="0"/>
          <c:showSerName val="0"/>
          <c:showPercent val="0"/>
          <c:showBubbleSize val="0"/>
        </c:dLbls>
        <c:gapWidth val="219"/>
        <c:axId val="501243968"/>
        <c:axId val="498490416"/>
      </c:barChart>
      <c:lineChart>
        <c:grouping val="standard"/>
        <c:varyColors val="0"/>
        <c:ser>
          <c:idx val="2"/>
          <c:order val="1"/>
          <c:tx>
            <c:strRef>
              <c:f>Sheet2!$A$21</c:f>
              <c:strCache>
                <c:ptCount val="1"/>
                <c:pt idx="0">
                  <c:v>Socialinės pašalpos ir skurdo rizikos ribos santykis, proc.  </c:v>
                </c:pt>
              </c:strCache>
            </c:strRef>
          </c:tx>
          <c:spPr>
            <a:ln w="2222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Sheet2!$B$18:$R$18</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strCache>
            </c:strRef>
          </c:cat>
          <c:val>
            <c:numRef>
              <c:f>Sheet2!$B$21:$R$21</c:f>
              <c:numCache>
                <c:formatCode>0</c:formatCode>
                <c:ptCount val="17"/>
                <c:pt idx="0">
                  <c:v>19.510275224199493</c:v>
                </c:pt>
                <c:pt idx="1">
                  <c:v>18.611182782963997</c:v>
                </c:pt>
                <c:pt idx="2">
                  <c:v>17.060220240432255</c:v>
                </c:pt>
                <c:pt idx="3">
                  <c:v>16.537243489162471</c:v>
                </c:pt>
                <c:pt idx="4">
                  <c:v>21.190865889605114</c:v>
                </c:pt>
                <c:pt idx="5">
                  <c:v>30.84068376730934</c:v>
                </c:pt>
                <c:pt idx="6">
                  <c:v>33.985084073831914</c:v>
                </c:pt>
                <c:pt idx="7">
                  <c:v>30.799505947933074</c:v>
                </c:pt>
                <c:pt idx="8">
                  <c:v>27.746700978995214</c:v>
                </c:pt>
                <c:pt idx="9">
                  <c:v>26.786214861293072</c:v>
                </c:pt>
                <c:pt idx="10">
                  <c:v>23.838418100692035</c:v>
                </c:pt>
                <c:pt idx="11">
                  <c:v>20.634859618887759</c:v>
                </c:pt>
                <c:pt idx="12">
                  <c:v>18.738895469351494</c:v>
                </c:pt>
                <c:pt idx="13">
                  <c:v>18.99296436792789</c:v>
                </c:pt>
                <c:pt idx="14">
                  <c:v>21.348527902593901</c:v>
                </c:pt>
                <c:pt idx="15">
                  <c:v>18.364235108591046</c:v>
                </c:pt>
              </c:numCache>
            </c:numRef>
          </c:val>
          <c:smooth val="0"/>
          <c:extLst>
            <c:ext xmlns:c16="http://schemas.microsoft.com/office/drawing/2014/chart" uri="{C3380CC4-5D6E-409C-BE32-E72D297353CC}">
              <c16:uniqueId val="{00000001-AB08-4BB4-9F25-D20ED434D1D1}"/>
            </c:ext>
          </c:extLst>
        </c:ser>
        <c:dLbls>
          <c:showLegendKey val="0"/>
          <c:showVal val="0"/>
          <c:showCatName val="0"/>
          <c:showSerName val="0"/>
          <c:showPercent val="0"/>
          <c:showBubbleSize val="0"/>
        </c:dLbls>
        <c:marker val="1"/>
        <c:smooth val="0"/>
        <c:axId val="498491536"/>
        <c:axId val="498490976"/>
      </c:lineChart>
      <c:catAx>
        <c:axId val="50124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8490416"/>
        <c:crosses val="autoZero"/>
        <c:auto val="1"/>
        <c:lblAlgn val="ctr"/>
        <c:lblOffset val="100"/>
        <c:noMultiLvlLbl val="0"/>
      </c:catAx>
      <c:valAx>
        <c:axId val="498490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1243968"/>
        <c:crosses val="autoZero"/>
        <c:crossBetween val="between"/>
      </c:valAx>
      <c:valAx>
        <c:axId val="49849097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8491536"/>
        <c:crosses val="max"/>
        <c:crossBetween val="between"/>
      </c:valAx>
      <c:catAx>
        <c:axId val="498491536"/>
        <c:scaling>
          <c:orientation val="minMax"/>
        </c:scaling>
        <c:delete val="1"/>
        <c:axPos val="b"/>
        <c:numFmt formatCode="General" sourceLinked="1"/>
        <c:majorTickMark val="out"/>
        <c:minorTickMark val="none"/>
        <c:tickLblPos val="nextTo"/>
        <c:crossAx val="498490976"/>
        <c:crosses val="autoZero"/>
        <c:auto val="1"/>
        <c:lblAlgn val="ctr"/>
        <c:lblOffset val="100"/>
        <c:noMultiLvlLbl val="0"/>
      </c:catAx>
      <c:spPr>
        <a:noFill/>
        <a:ln>
          <a:noFill/>
        </a:ln>
        <a:effectLst/>
      </c:spPr>
    </c:plotArea>
    <c:legend>
      <c:legendPos val="b"/>
      <c:layout>
        <c:manualLayout>
          <c:xMode val="edge"/>
          <c:yMode val="edge"/>
          <c:x val="2.6063034803576378E-2"/>
          <c:y val="0.81886410032079326"/>
          <c:w val="0.96404825660439841"/>
          <c:h val="0.1533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444A-D32F-45D1-A5A7-4255ADF9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8142</Words>
  <Characters>4642</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dc:creator>
  <cp:lastModifiedBy>Kristina Krupaviciene</cp:lastModifiedBy>
  <cp:revision>2</cp:revision>
  <cp:lastPrinted>2020-12-19T11:25:00Z</cp:lastPrinted>
  <dcterms:created xsi:type="dcterms:W3CDTF">2021-06-28T09:39:00Z</dcterms:created>
  <dcterms:modified xsi:type="dcterms:W3CDTF">2021-06-28T09:39:00Z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1637752417</vt:i4>
  </property>
  <property fmtid="{D5CDD505-2E9C-101B-9397-08002B2CF9AE}" pid="3" name="_NewReviewCycle">
    <vt:lpwstr/>
  </property>
  <property fmtid="{D5CDD505-2E9C-101B-9397-08002B2CF9AE}" pid="4" name="_EmailSubject">
    <vt:lpwstr>socialine pasalpa</vt:lpwstr>
  </property>
  <property fmtid="{D5CDD505-2E9C-101B-9397-08002B2CF9AE}" pid="5" name="_AuthorEmail">
    <vt:lpwstr>Svetlana.Kulpina@socmin.lt</vt:lpwstr>
  </property>
  <property fmtid="{D5CDD505-2E9C-101B-9397-08002B2CF9AE}" pid="6" name="_AuthorEmailDisplayName">
    <vt:lpwstr>Svetlana Kulpina</vt:lpwstr>
  </property>
  <property fmtid="{D5CDD505-2E9C-101B-9397-08002B2CF9AE}" pid="7" name="_PreviousAdHocReviewCycleID">
    <vt:i4>-1647244538</vt:i4>
  </property>
  <property fmtid="{D5CDD505-2E9C-101B-9397-08002B2CF9AE}" pid="8" name="_ReviewingToolsShownOnce">
    <vt:lpwstr/>
  </property>
</Properties>
</file>